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15 godz., praca na ćwiczeniach 15 godz., zapoznanie się ze wskazaną literaturą 15 godz., przygotowanie się do kolokwiów 10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zawierające łącznie 6 pytań otwartych (wymagane udzielenie co najmnie 51% poprawnej odpowiedzi na każde z nich)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fazy cyklu życia i zasady obsługi i użytkowania taboru, rozumie ich wpływ na problemy bezpieczeństwa w eksploatacji i utrzymaniu ruchu kolejowego</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W02: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wspływu sposobu obsługi taboru na jego gotowość i awaryjność </w:t>
      </w:r>
    </w:p>
    <w:p>
      <w:pPr>
        <w:spacing w:before="60"/>
      </w:pPr>
      <w:r>
        <w:rPr/>
        <w:t xml:space="preserve">Weryfikacja: </w:t>
      </w:r>
    </w:p>
    <w:p>
      <w:pPr>
        <w:spacing w:before="20" w:after="190"/>
      </w:pPr>
      <w:r>
        <w:rPr/>
        <w:t xml:space="preserve">Dwa kolokwia zawierające łącznie 6 pytań opisowych, w tym 2 pytania dotyczące bezpośrednio treści weryfikowanego efektu. Wymagana częściowa odpowiedź na każde z nich, tzn. co najmniej 50%. </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udział w dyskusji na zajęciach, wymagana poprawna wypowiedz  na temat efektu </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2024-05-19T21:53:14+02:00</dcterms:created>
  <dcterms:modified xsi:type="dcterms:W3CDTF">2024-05-19T21:53:14+02:00</dcterms:modified>
</cp:coreProperties>
</file>

<file path=docProps/custom.xml><?xml version="1.0" encoding="utf-8"?>
<Properties xmlns="http://schemas.openxmlformats.org/officeDocument/2006/custom-properties" xmlns:vt="http://schemas.openxmlformats.org/officeDocument/2006/docPropsVTypes"/>
</file>