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adiunkt,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godz.,studiowanie literatury przedmiotu 10 godz., przygotowanie się do egzaminu z wykładu 15 godz., konsultacje 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godz.,konsultacje 3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 składający się z 10 pytań otwartych. Wymagane jest uzyskanie 6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Tr2A_U01, Tr2A_U04</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charakterystyki kierunkowe: </w:t>
      </w:r>
      <w:r>
        <w:rPr/>
        <w:t xml:space="preserve">Tr2A_K01, Tr2A_K02, Tr2A_K04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2024-05-19T21:52:29+02:00</dcterms:created>
  <dcterms:modified xsi:type="dcterms:W3CDTF">2024-05-19T21:52:29+02:00</dcterms:modified>
</cp:coreProperties>
</file>

<file path=docProps/custom.xml><?xml version="1.0" encoding="utf-8"?>
<Properties xmlns="http://schemas.openxmlformats.org/officeDocument/2006/custom-properties" xmlns:vt="http://schemas.openxmlformats.org/officeDocument/2006/docPropsVTypes"/>
</file>