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Ruch drogowy </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9 godz., praca na ćwiczeniach laboratoryjnych 9 godz., zapoznanie się ze wskazaną literaturą 10 godz., przygotowanie się do zajęć laboratoryjnych 17 godz., wykonanie sprawozdania 14 godz., konsultacje w zakresie laboratorium i obrona sprawozdań 4 godz., przygotowanie się do kolokwiów 14 godz., konsultacje w zakresie wykładów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(25 godz., w tym: praca na wykładach 9 godz., praca na ćwiczeniach laboratoryjnych 9 godz., konsultacje w zakresie laboratorium i obrona sprawozdań 4 godz., konsultacje w zakresie wykładów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(44 godz., w tym: praca na ćwiczeniach laboratoryjnych 9 godz., przygotowanie się do zajęć laboratoryjnych 17 godz., wykonanie sprawozdania 14 godz., konsultacje w zakresie laboratorium i obrona sprawozdań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Uzyskanie wiedzy o pomiarach, badaniach,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i detektory ruchu drogowego. Inteligentne Systemy Transportowe w transporcie indywidualnym i publicznym. Środki realizacji polityki mobilności w miastach. Zarządzanie parkowaniem w miastach. Bezpieczeństwo ruchu drogowego - ogólne i inżynierskie metody poprawy. 
Treść ćwiczeń laboratoryjnych:
1)Badanie modeli sieci drogowych - przegląd zastosowań. 2)Modelowanie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4)Badanie modelu skrzyżowania sterowanego - zastosowanie aplikacji komputerowej do modelowania i analiz efektywności funkcjonowania drogowych z sygnalizacją świetlną.</w:t>
      </w:r>
    </w:p>
    <w:p>
      <w:pPr>
        <w:keepNext w:val="1"/>
        <w:spacing w:after="10"/>
      </w:pPr>
      <w:r>
        <w:rPr>
          <w:b/>
          <w:bCs/>
        </w:rPr>
        <w:t xml:space="preserve">Metody oceny: </w:t>
      </w:r>
    </w:p>
    <w:p>
      <w:pPr>
        <w:spacing w:before="20" w:after="190"/>
      </w:pPr>
      <w:r>
        <w:rPr/>
        <w:t xml:space="preserve">Wykład: 2 kolokwia pisemne, na każdym 4 pytania otwarte po 3 punkty, podstawą zaliczenia jest uzyskanie ze wszystkich kolokwiów łącznie co najmniej 50% +1 możliwych do otrzymania punktów, pod warunkiem, że z żadnego sprawdzianu nie uzyskano mniej niż 33% możliwych do otrzymania punktów.
Laboratorium - Wykonanie ćwiczenia, przygotowanie i „obrona”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11. Vissim 5.40 - User Manual, PTV Planung Transport Verkehr AG 2012
12. Obwieszczenie Ministra Infrastruktury z dnia 9 września 2019 r. w sprawie ogłoszenia jednolitego tekstu rozporządzenia Ministra Infrastruktury w sprawie szczegółowych warunków technicznych dla znaków i sygnałów drogowych oraz urządzeń bezpieczeństwa ruchu drogowego i warunków ich umieszczania na drogach, Dziennik Ustaw 2019 r. poz. 2311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ruchu drogowym, w zakresie potrzebnym dla rzeczoznawcy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w zakresie potrzebnym dla rzeczoznawcy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podstawową wiedzę, w zakresie potrzebnym dla rzeczoznawcy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integrować wiadomości z różnych dziedzin wiedzy dla opisu procesów ruchu drogowego i zachowań kierowców.</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Ćwiczenia - Ocena prawidłowości wykonania modelu symulacyjnego symulacyjnego i opracowanego sprawozdania, ew. odp.ustna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odpowiednie metody do badań i oceny bezpieczeństwa ruchu drogowego.
Potrafi, korzystając z oprogramowania komputerowego, zasymulować działanie prostej, cyklicznej sygnalizacji świetlnej na skrzyżowaniu ulic oraz ocenić efektywność jej funkcjonowania. Potrafi stosować odpowiednie metody do badań i analizy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Ćwiczenie 4 - Ocena prawidłowości wykonania modelu symulacyjnego symulacyjnego i odp. ustna</w:t>
      </w:r>
    </w:p>
    <w:p>
      <w:pPr>
        <w:spacing w:before="20" w:after="190"/>
      </w:pPr>
      <w:r>
        <w:rPr>
          <w:b/>
          <w:bCs/>
        </w:rPr>
        <w:t xml:space="preserve">Powiązane charakterystyki kierunkowe: </w:t>
      </w:r>
      <w:r>
        <w:rPr/>
        <w:t xml:space="preserve">Tr2A_U15, Tr2A_U20</w:t>
      </w:r>
    </w:p>
    <w:p>
      <w:pPr>
        <w:spacing w:before="20" w:after="190"/>
      </w:pPr>
      <w:r>
        <w:rPr>
          <w:b/>
          <w:bCs/>
        </w:rPr>
        <w:t xml:space="preserve">Powiązane charakterystyki obszarowe: </w:t>
      </w:r>
      <w:r>
        <w:rPr/>
        <w:t xml:space="preserve">I.P7S_UW,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2025-12-27T10:56:07+01:00</dcterms:created>
  <dcterms:modified xsi:type="dcterms:W3CDTF">2025-12-27T10:56:07+01:00</dcterms:modified>
</cp:coreProperties>
</file>

<file path=docProps/custom.xml><?xml version="1.0" encoding="utf-8"?>
<Properties xmlns="http://schemas.openxmlformats.org/officeDocument/2006/custom-properties" xmlns:vt="http://schemas.openxmlformats.org/officeDocument/2006/docPropsVTypes"/>
</file>