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Projektowanie terminali transportu intermodalnego</w:t>
      </w:r>
    </w:p>
    <w:p>
      <w:pPr>
        <w:keepNext w:val="1"/>
        <w:spacing w:after="10"/>
      </w:pPr>
      <w:r>
        <w:rPr>
          <w:b/>
          <w:bCs/>
        </w:rPr>
        <w:t xml:space="preserve">Koordynator przedmiotu: </w:t>
      </w:r>
    </w:p>
    <w:p>
      <w:pPr>
        <w:spacing w:before="20" w:after="190"/>
      </w:pPr>
      <w:r>
        <w:rPr/>
        <w:t xml:space="preserve">dr hab. inż. Roland Jachimowski, ad.,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TR.NMS111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9 godz., praca na ćwiczeniach projektowych 9 godz., studiowanie literatury przedmiotu 12 godz., konsultacje 3 godz. (w tym konsultacje w zakresie projektu 2 godz.), przygotowanie się do kolokwiów 12 godz., wykonanie projektu poza godzinami zajęć 30 godz., przygotowanie się do obrony projektu 9 godz., obrona projektu 1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(22 godzin, w tym: praca na wykładach 9 godz., praca na ćwiczeniach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9 godz., konsultacje w zakresie projektu 2 godz., wykonanie projektu poza godzinami zajęć 30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Nabycie wiedzy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kolokwium pisemne zawierające od 5 do 8 pytań otwartych bądź od 12 do 16 pytań testowych. W przypadku zajęć zdalnych, zdjęcia odpowiedzi na pytania egzaminacyjne przesyłane są do prowadzącego zajęcia przez e-mail w czasie trwania egzaminu. Zarówno w przypadku pytań otwartych jak i testowych wymagane jest udzielenie prawidłowej odpowiedzi na co najmniej 51% zadanych pytań (bądź w co najmniej połowie odpowiedzenie prawidłowo na zadane pytanie) dotyczących danego efektu kształcenia).
Projekt: wykonanie kompletnego projektu oraz jego ustna obrona. Prawidłowa odpowiedź na przynajmniej połowę zadanych pytań do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zajęć z kierunkowymi efektami uczenia,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Kolokwium – 1-2 pytania otwarte lub 2-4 pytania testowe dotyczące tego efektu, wymagane jest udzielenie prawidłowej odpowiedzi na przynajmniej jedno pytanie otwarte (lub przynajmniej w połowie na każe z pytań otwartych) i w całości na przynajmniej połowę pytań testowych.</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Kolokwium – 1 zadanie obliczeniowe lub 1 pytanie testowe (również wymagające wykonania obliczeń). Wymagane jest podanie prawidłowej odpowiedzi w obu przypadkach. </w:t>
      </w:r>
    </w:p>
    <w:p>
      <w:pPr>
        <w:spacing w:before="20" w:after="190"/>
      </w:pPr>
      <w:r>
        <w:rPr>
          <w:b/>
          <w:bCs/>
        </w:rPr>
        <w:t xml:space="preserve">Powiązane charakterystyki kierunkowe: </w:t>
      </w:r>
      <w:r>
        <w:rPr/>
        <w:t xml:space="preserve">Tr2A_W07, Tr2A_W08</w:t>
      </w:r>
    </w:p>
    <w:p>
      <w:pPr>
        <w:spacing w:before="20" w:after="190"/>
      </w:pPr>
      <w:r>
        <w:rPr>
          <w:b/>
          <w:bCs/>
        </w:rPr>
        <w:t xml:space="preserve">Powiązane charakterystyki obszarowe: </w:t>
      </w:r>
      <w:r>
        <w:rPr/>
        <w:t xml:space="preserve">I.P7S_WG, I.P7S_WK</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p>
      <w:pPr>
        <w:keepNext w:val="1"/>
        <w:spacing w:after="10"/>
      </w:pPr>
      <w:r>
        <w:rPr>
          <w:b/>
          <w:bCs/>
        </w:rPr>
        <w:t xml:space="preserve">Charakterystyka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Projekt– wykonanie kompletnego projektu oraz ustna jego obrona. Prawidłowa odpowiedź na przynajmniej połowę zadanych pytań do projektu. </w:t>
      </w:r>
    </w:p>
    <w:p>
      <w:pPr>
        <w:spacing w:before="20" w:after="190"/>
      </w:pPr>
      <w:r>
        <w:rPr>
          <w:b/>
          <w:bCs/>
        </w:rPr>
        <w:t xml:space="preserve">Powiązane charakterystyki kierunkowe: </w:t>
      </w:r>
      <w:r>
        <w:rPr/>
        <w:t xml:space="preserve">Tr2A_U21, Tr2A_U22</w:t>
      </w:r>
    </w:p>
    <w:p>
      <w:pPr>
        <w:spacing w:before="20" w:after="190"/>
      </w:pPr>
      <w:r>
        <w:rPr>
          <w:b/>
          <w:bCs/>
        </w:rPr>
        <w:t xml:space="preserve">Powiązane charakterystyki obszarowe: </w:t>
      </w:r>
      <w:r>
        <w:rPr/>
        <w:t xml:space="preserve">I.P7S_UW, III.P7S_UW.4.o, III.P7S_UW.2.o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2024-05-18T17:49:20+02:00</dcterms:created>
  <dcterms:modified xsi:type="dcterms:W3CDTF">2024-05-18T17:49:20+02:00</dcterms:modified>
</cp:coreProperties>
</file>

<file path=docProps/custom.xml><?xml version="1.0" encoding="utf-8"?>
<Properties xmlns="http://schemas.openxmlformats.org/officeDocument/2006/custom-properties" xmlns:vt="http://schemas.openxmlformats.org/officeDocument/2006/docPropsVTypes"/>
</file>