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9 godz., praca na ćwiczeniach 9 godz., studiowanie literatury przedmiotu 26 godz., konsultacje 1 godz., przygotowanie się do kolokwiów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godzin, w tym: praca na wykładach 9 godz., praca na ćwiczeniach 9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Tr2A_U09, Tr2A_U11, Tr2A_U02</w:t>
      </w:r>
    </w:p>
    <w:p>
      <w:pPr>
        <w:spacing w:before="20" w:after="190"/>
      </w:pPr>
      <w:r>
        <w:rPr>
          <w:b/>
          <w:bCs/>
        </w:rPr>
        <w:t xml:space="preserve">Powiązane charakterystyki obszarowe: </w:t>
      </w:r>
      <w:r>
        <w:rPr/>
        <w:t xml:space="preserve">III.P7S_UW.1.o, I.P7S_UW,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2026-10-13T19:56:27+02:00</dcterms:created>
  <dcterms:modified xsi:type="dcterms:W3CDTF">2026-10-13T19:56:27+02:00</dcterms:modified>
</cp:coreProperties>
</file>

<file path=docProps/custom.xml><?xml version="1.0" encoding="utf-8"?>
<Properties xmlns="http://schemas.openxmlformats.org/officeDocument/2006/custom-properties" xmlns:vt="http://schemas.openxmlformats.org/officeDocument/2006/docPropsVTypes"/>
</file>