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Zaawansowane metody projektowania konstrukcji I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inż. Sławomir Dudziak, dr inż. Maciej Cwyl,  mgr inż. Szymon Spodzieja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Fakultatywny ograniczonego wyboru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Budownictwo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Przedmioty do wyboru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1080-BU000-ISP-0662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7 / rok ak. 2020/2021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2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Razem 50 godzin = 2 ECTS: ćwiczenia komputerowe 30 godz., przygotowanie do zajęć, prace zaliczeniowe 20 godz.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Razem 50 godzin = 2 ECTS: ćwiczenia komputerowe 30 godzin, sprawdzanie prac studentów 20 godzin + konsultacje.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Razem 50 godzin = 2 ECTS: ćwiczenia komputerowe 30 godz., przygotowanie do zajęć, prace zaliczeniowe 20 godz.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Podstawowa wiedza z zakresu Mechaniki Konstrukcji, Wytrzymałości Materiałów,  Metody Elementów Skończonych oraz Konstrukcji Stalowych i Żelbetowych. Podstawowa znajomość obsługi programów do analizy konstrukcji.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3 grupy 15-30 osobowe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Celem przedmiotu jest zaznajomienie studentów z metodami zaawansowanych analiz ustrojów konstrukcyjnych z wykorzystaniem nowoczesnych systemów opartych na metodzie elementów skończonych na przykładzie oprogramowania Dlubal RFEM. Oprogramowanie to jest powszechnie wykorzystywane w biurach projektowych na terenie Polski i innych krajów UE. Przedmiot podzielony jest na dwa bloki. W ramach pierwszego studenci są zaznajamiani z metodami analiz statyczno-wytrzymałościowych ustrojów prętowych o konstrukcji stalowej. W ramach bloku drugiego wprowadzane są podstawowe wiadomości z zakresu statyki płyt oraz wymiarowania stropów żelbetowych. 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Blok 1. Analiza statyczna i wymiarowanie prętowych konstrukcji stalowych – 8 spotkań (6 zjazdów)
•	Wprowadzenie do programu, zapoznanie z interfejsem, wprowadzanie geometrii, warunków brzegowych, obciążeń, przypadków i kombinacji oddziaływań
•	Przypomnienie podstawowych informacji z zakresu analizy statycznej ustrojów prętowych z wykorzystaniem MES
•	Analiza statyczna konstrukcji prętowych
•	Wymiarowanie konstrukcji stalowych
•	Wymiarowanie wybranych połączeń stalowych
•	Projekt zaliczeniowy – projekt hali o konstrukcji stalowej
•	Przypomnienie podstawowych informacji z zakresu stateczności konstrukcji
•	Wyznaczanie obciążenia krytycznego ramy płaskiej – różnymi metodami, porównanie z wynikami uzyskanymi metodami analitycznymi
Blok 2. Analiza statyczna i wymiarowanie konstrukcji żelbetowych – 6 spotkań (4 zjazdy)
•	Wymiarowanie prętowych konstrukcji żelbetowych
•	Przypomnienie / omówienie podstawowych informacji z zakresu statyki płyt
•	Siatkowanie konstrukcji powierzchniowych, analiza rozkładu sił wewnętrznych w pobliżu punktów osobliwych
•	Wymiarowanie zbrojenia stropu żelbetowego.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Aktywne uczestnictwo w zajęciach oraz wykonanie projektu zaliczeniowego.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[1] Program RFEM 5 Obliczanie konstrukcji przestrzennych metodą elementów skończonych. Opis program. Katowice 2015. 
[2] Materiały szkoleniowe producenta oprogramowania.
[3] G. Rakowski, Z. Kacprzyk, Metoda Elementów Skończonych w mechanice konstrukcji, OWPW, Warszawa 2016.
[4] A. Gomuliński, M. Witkowski, Mechanika budowli: kurs dla zaawansowanych. OWPW, Warszawa 1993.
[5] O.C. Zienkiewicz, R. L. Taylor, J.Z. Zhu, The Finite Element Method: Its Basis and Fundamentals. Elsevier, Oxford 2013.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W1: </w:t>
      </w:r>
    </w:p>
    <w:p>
      <w:pPr/>
      <w:r>
        <w:rPr/>
        <w:t xml:space="preserve">Podczas realizacji programu zostanie uporządkowana wiedza z zakresu projektowania z wykorzystaniem zaawansowanych metod analizy statycznej i wymiarowania konstrukcji. Rozszerzona  i usystematyzowana zostanie wiedza z statyczno-wytrzymałościowej powierzchniowych konstrukcji żelbetowych.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Aktywne uczestnictwo w zajęciach komputerowych, wykonanie projektu zaliczeniowego.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K1_W24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T1A_W04, T1A_W05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Efekt U1: </w:t>
      </w:r>
    </w:p>
    <w:p>
      <w:pPr/>
      <w:r>
        <w:rPr/>
        <w:t xml:space="preserve">Zostaną rozwinięte umiejętności obsługi zaawansowanych programów do analizy konstrukcji na przykładzie systemu Dlubal RFEM. Studenci uzyskają umiejętność krytycznej oceny uzyskanych wyników.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Aktywne uczestnictwo w zajęciach komputerowych, wykonanie projektu zaliczeniowego.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K1_U04, K1_U05, K1_U06, K1_U07, K1_U02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T1A_U07, T1A_U08, T1A_U15, T1A_U03, T1A_U05, T1A_U07, T1A_U13, T1A_U01, T1A_U07, T1A_U08, T1A_U09, T1A_U15, T1A_U03, T1A_U04, T1A_U05, T1A_U14, T1A_U16, T1A_U08, T1A_U13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2026-10-09T05:18:15+02:00</dcterms:created>
  <dcterms:modified xsi:type="dcterms:W3CDTF">2026-10-09T05:18:15+02:00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