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Programowanie 2 - obiektowe, Algorytmy i struktury danych</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w:t>
      </w:r>
    </w:p>
    <w:p>
      <w:pPr>
        <w:keepNext w:val="1"/>
        <w:spacing w:after="10"/>
      </w:pPr>
      <w:r>
        <w:rPr>
          <w:b/>
          <w:bCs/>
        </w:rPr>
        <w:t xml:space="preserve">Metody oceny: </w:t>
      </w:r>
    </w:p>
    <w:p>
      <w:pPr>
        <w:spacing w:before="20" w:after="190"/>
      </w:pPr>
      <w:r>
        <w:rPr/>
        <w:t xml:space="preserve">Na ocenę końcową wpływają: 5 zadań laboratoryjnych (razem 100 pkt), oraz pisemny egzamin końcowy (60 pkt). Każde z zadań laboratoryjnych oraz egzamin muszą być zaliczone na co najmniej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J.D. Foley, A. van Dam, S.K. Feiner, J.F. Hughes, Computer Graphics, Principles and Practice, Addison-Wesley, 1990.
2. J.D. Foley, A. van Dam, Introduction to computer graphics, Addison-Wesley 1990, 1994 (Wprowadzenie do grafiki komputerowej – WNT 95).
3. A.S. Glassner, Graphics GEMs, Academic Press, San Diego, 1990.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K_U14, K_U19, K_U23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K_U19, K_U29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2024-04-28T21:47:28+02:00</dcterms:created>
  <dcterms:modified xsi:type="dcterms:W3CDTF">2024-04-28T21:47:28+02:00</dcterms:modified>
</cp:coreProperties>
</file>

<file path=docProps/custom.xml><?xml version="1.0" encoding="utf-8"?>
<Properties xmlns="http://schemas.openxmlformats.org/officeDocument/2006/custom-properties" xmlns:vt="http://schemas.openxmlformats.org/officeDocument/2006/docPropsVTypes"/>
</file>