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środowiska wirtualnego</w:t>
      </w:r>
    </w:p>
    <w:p>
      <w:pPr>
        <w:keepNext w:val="1"/>
        <w:spacing w:after="10"/>
      </w:pPr>
      <w:r>
        <w:rPr>
          <w:b/>
          <w:bCs/>
        </w:rPr>
        <w:t xml:space="preserve">Koordynator przedmiotu: </w:t>
      </w:r>
    </w:p>
    <w:p>
      <w:pPr>
        <w:spacing w:before="20" w:after="190"/>
      </w:pPr>
      <w:r>
        <w:rPr/>
        <w:t xml:space="preserve"> Mgr inż. Piotr Pełka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1120-INCAD-MSP-0112</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ćwiczeń, rozwiązanie prac domowych – 20 h
3. przygotowanie do zajęć laboratoryjnych – 45 h
4. zapoznanie się z literaturą – 10 h
5. konsultacje – 5 h
6. przygotowanie do egzaminu i obecność na egzaminie – 20 h
Razem nakład pracy studenta 190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ćwiczeń, rozwiązanie prac domowych – 20 h
4. przygotowanie do zajęć laboratoryjnych – 45 h
Razem: 125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znajomość podstawowych algorytmów i metod modelowania geometrycznego i grafiki komputerowej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lub wybór istniejącego silnika gry oraz stworzenie gry opartej o ten silnik. Projekt składa się z podstawowych komponentów:
- logiki gry (zarządzanie zdarzeniami i obiektami, AI przeciwników, sieć,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prezentacji/referatu oraz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V.L. Arnold, Metody matematyczne mechaniki klasycznej, PWN, Warszawa 1981.
2. M. DeLoura, D. Treglia, Perełki programowania gier, Tom 1, 2 i 3, Helion, 2002.
3. J.G. de Jalon, E. Bayo, Kinematic and dynamic simulation of multibody systems, Springer-Verlag New York 1994.
4. E.J. Haug, R. C. Deyo, Real-time integration methods for mechanical system simu-lation, Springer-Verlag Berlin Heidelberg 1991.
5. J. Manerowski, Identyfikacja modelu dynamiki ruchu sterowanych obiektów lata-jących, WN ASKON, Warszawa 1999.
6. G.D. Padfield, Dynamika lotu śmigłowców, WKiŁ, Warszawa 1998.
7. A.A. Shabana, Dynamics of Multibody Systems, Cambridge University Press.
8. K. Stefański, Wstęp do mechaniki klasycznej, PWN, Warszawa 1999.
9. Y. Takahashi, M.J. Robins, D.M. Auslander,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narzędzia i technologie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Posiada umiejętność gromadzenia, selekcji i krytycznej interpretacji informacji technicznej, zdolność formułowania poglądów, idei, hipotez,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I2_U01, I2_U06, I2_U09, I2CC_U01, I2CC_U09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I2_U05, I2CC_U01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I2_U03, I2CC_U02, I2CC_U03, I2CC_U04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I2CC_U05</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myślenia i działania w sposób kreatywny i przedsiębiorczy</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2024-05-16T03:58:15+02:00</dcterms:created>
  <dcterms:modified xsi:type="dcterms:W3CDTF">2024-05-16T03:58:15+02:00</dcterms:modified>
</cp:coreProperties>
</file>

<file path=docProps/custom.xml><?xml version="1.0" encoding="utf-8"?>
<Properties xmlns="http://schemas.openxmlformats.org/officeDocument/2006/custom-properties" xmlns:vt="http://schemas.openxmlformats.org/officeDocument/2006/docPropsVTypes"/>
</file>