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Jarosław Grytczuk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1120-MAMNI-NSP-0036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ćwiczeniach – 30 h
	b) konsultacje – 5 h
2. praca własna studenta – 20 h; w tym
	a) przygotowanie referatów – 15 h
	b) zapoznanie się z literaturą – 5 h
Razem 55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b) konsultacje – 5 h
Razem 35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pracy dyplomowej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dyplomem.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dotyczącą uwarunkowań związanych z działalnością badawczą w zakresie algebry, kombinatoryki i zastosowań matematyki w cyberbezpieczeństwie.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Aktywność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M2_W03, M2MCB_W01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Aktywność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Aktywność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M2MCB_U01, M2MCB_U14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SEM_U02: </w:t>
      </w:r>
    </w:p>
    <w:p>
      <w:pPr/>
      <w:r>
        <w:rPr/>
        <w:t xml:space="preserve">Umie posługiwać się językiem algebraicznym do interpretacji różnych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Aktywność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Rozumie społeczne aspekty stosowania zdobytej wiedzy, jej przydatność,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Aktywność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M2MCB_K02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Aktywność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2024-05-19T18:29:24+02:00</dcterms:created>
  <dcterms:modified xsi:type="dcterms:W3CDTF">2024-05-19T18:29:24+02:00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