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dyspozytorskie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Kotyński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15h., laboratorium 15h, zajęcia komputerowe 15h, zapoznanie z literaturą 10h, przygotowanie do laboratoriów 15h, przygotowanie do zaliczenia wykładów 15h, przygotowanie do kolokwium 15h.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teoretycznej i praktycznej wiedzy dotyczącej systemów sterowania i archiwizacji danych SCADA stosowanych do zarządzania sieciami płynowymi.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systemów SCADA, ich architektura oraz rola w przedsiębiorstwie sieciowym. Elementy systemu SCADA. Rozwiązania sprzętowe w zakresie komputerów przemysłowych, sterowników programowalnych PLC, modułów I/O. Standardy komunikacyjne sieci przemysłowych. Przegląd systemów SCADA funkcjonujących na rynku przedsiębiorstw sieciowych. Kierunki rozwoju systemów SCADA.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0,4*ocena z wykładów + 0,3*ocena z zajęć komputerowych + 0,3*ocena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Jakuszewski R. - Programowanie systemów SCADA : Proficy HMI/SCADA - iFIX, Wydawnictwo Pracowni Komputerowej Jacka Skalmierskiego,2006.
[2] Łukasik Z., Kuśmińska- Fijałkowska A. - Laboratorium automatyzacji i wizualizacji procesów,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IS_W13: </w:t>
      </w:r>
    </w:p>
    <w:p>
      <w:pPr/>
      <w:r>
        <w:rPr/>
        <w:t xml:space="preserve">Posiada szczegółową wiedzę z zakresu systemów SCADA pozwalająca na określenie wymaganej funkcjonalności oraz dobór struktury systemu na potrzeby sterowanego obiektu w sieciach ciepłowniczych i gazowniczych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IS_W14: </w:t>
      </w:r>
    </w:p>
    <w:p>
      <w:pPr/>
      <w:r>
        <w:rPr/>
        <w:t xml:space="preserve">Posiada rozszerzoną wiedzę w zakresie wpływu systemów SCADA na jakość i efektywność ekonomiczną zarządzania systemami ciepłowniczymi i gazowniczymi.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IS_U04: </w:t>
      </w:r>
    </w:p>
    <w:p>
      <w:pPr/>
      <w:r>
        <w:rPr/>
        <w:t xml:space="preserve">Potrafi samodzielnie z wykorzystaniem programów wspomagających określić odpowiednią strukturę systemu SCADA na potrzeby sterowanego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IS_U10: </w:t>
      </w:r>
    </w:p>
    <w:p>
      <w:pPr/>
      <w:r>
        <w:rPr/>
        <w:t xml:space="preserve">Potrafi dobrać elementy systemu SCADA na potrzeby systemów ciepłowniczych i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podnoszenia kompetencji zawodowych. Potrafi zidentyfikować i wyeliminować zagrożenia wynikające z błędnie przeprowadzonych symulacji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2026-02-10T04:56:48+01:00</dcterms:created>
  <dcterms:modified xsi:type="dcterms:W3CDTF">2026-02-10T04:56:48+01:00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