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Ultralekkie nadwozia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Jarosław Seńko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Pojazdów Elektrycznych i Hybrydowych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1150-00000-ISP-0405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- 33, w tym:
a) wykład – 30 godz.;
b) konsultacje – 3 godz.
2) Praca własna studenta - 45 godzin, w tym:
a)	 15 godz. – bieżące przygotowywanie się studenta do wykładu;
b)	 15 godz. – studia literaturowe;
c)	 15 godz. – przygotowywanie się studenta do kolokwiów.
3) RAZEM – 78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– liczba godzin kontaktowych - 33, w tym:
a) wykład – 30 godz.;
b) konsultacje – 3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komputerowych metod wspomagania prac inżynierskich, wytrzymałości materiałów i podstaw konstrukcji maszyn.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praktycznego konstruowania struktur i powierzchni widzialnych pojazdów. Umiejętność doboru technologii produkcji do rodzaju projektowanych nadwozia pojazdu.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definicje i klasyfikacja nadwozi. Przepisy międzynarodowe i normy dotyczące nadwozi pojazdów samochodowych. Algorytm rozwoju konstrukcji. Aspekty ekonomiczne budowy nadwozi pojazdów samochodowych. Ergonomia i stawiane wymagania względem przeznaczenia pojazdu. Package - rozplanowanie i założenia wymiarowe nadwozia. Zjawiska aerodynamiczne w opływie nadwozia pojazdu. Zapewnienie komfortu i bezpieczeństwa kierowcy i pasażerom pojazdu. Wprowadzenie do stylistyki nadwozi. Przedstawienie poszczególnych modułów nadwozia i omówienie spełnianych funkcji. Materiały i technologie stosowane w budowie nadwozi ultralekkich. Budowa struktury nadwozi pojazdów. Funkcje elementów wyposażenia wewnętrznego.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zaliczany jest na podstawie 2 kolokwiów.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11500-00000-ISP-0407_W1: </w:t>
      </w:r>
    </w:p>
    <w:p>
      <w:pPr/>
      <w:r>
        <w:rPr/>
        <w:t xml:space="preserve">Ma podbudowaną teoretycznie wiedzę dotyczącą konstrukcji nadwozi pojazdów samochodowych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sprawdzające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K_W05, K_W06,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11500-00000-ISP-0407_W2: </w:t>
      </w:r>
    </w:p>
    <w:p>
      <w:pPr/>
      <w:r>
        <w:rPr/>
        <w:t xml:space="preserve">Posiada wiedzę o konstrukcji współczesnych ultralekkich nadwozi pojazdów samochodowych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sprawdzające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K_W05, K_W06,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11500-00000-ISP-0407_W3: </w:t>
      </w:r>
    </w:p>
    <w:p>
      <w:pPr/>
      <w:r>
        <w:rPr/>
        <w:t xml:space="preserve">Zna podstawowe etapy i techniki wytwarzania nadwozi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sprawdzające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K_W05, K_W06,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	11500-00000-ISP-0407_U1: </w:t>
      </w:r>
    </w:p>
    <w:p>
      <w:pPr/>
      <w:r>
        <w:rPr/>
        <w:t xml:space="preserve">Potrafi ocenić konstrukcję nadwozi wg przedstawionych klasyfikacji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sprawdzające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K_U09, K_U01, K_U02, 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11500-00000-ISP-0407_U2: </w:t>
      </w:r>
    </w:p>
    <w:p>
      <w:pPr/>
      <w:r>
        <w:rPr/>
        <w:t xml:space="preserve">Potrafi zaplanować budowę nadwozia pojazdu z wyznaczeniem głównych założeń pojazdu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sprawdzające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K_U03, 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11500-00000-ISP-0407_U3: </w:t>
      </w:r>
    </w:p>
    <w:p>
      <w:pPr/>
      <w:r>
        <w:rPr/>
        <w:t xml:space="preserve">Potrafi  ocenić wpływ założeń konstrukcyjnych struktury na klasę i rodzaj nadwozia pojazdu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sprawdzające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K_U03, 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11500-00000-ISP-0407_K1: </w:t>
      </w:r>
    </w:p>
    <w:p>
      <w:pPr/>
      <w:r>
        <w:rPr/>
        <w:t xml:space="preserve">Ma świadomość przyjętych wstępnych założeń konstrukcyjnych nadwozia na klasę i rodzaj pojazdu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sprawdzające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K_K02, K_K03,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11500-00000-ISP-0407_K2: </w:t>
      </w:r>
    </w:p>
    <w:p>
      <w:pPr/>
      <w:r>
        <w:rPr/>
        <w:t xml:space="preserve">Ma świadomość wagi odniesienia badań na modelach nadwozia do obiektów rzeczywistych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sprawdzające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K_K02, K_K03,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2026-09-12T13:41:13+02:00</dcterms:created>
  <dcterms:modified xsi:type="dcterms:W3CDTF">2026-09-12T13:41:13+02:00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