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70 , w tym:
a)	wykłady - 30 godz.,
b)	ćwiczenia – 30 godz.,
c)	konsultacje – 10 godz.
2.	Praca własna studenta – 55 godzin, w tym:
a)	 10 godz. - przygotowywanie się studenta do ćwiczeń,
b)	15 godz - zadania domowe (wykonanie projektu),
c)	15 godz - przygotowanie się do kolokwiów,
d)	15 godz. – przygotowanie się do egzaminu.
Razem - 125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ECTS-  liczba godzin kontaktowych : 70 , w tym:
a)	wykłady - 30 godz.
b)	ćwiczenia – 30 godz,
c)	konsultacje – 10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3-5 zapowiadanych kolokwiów. Zaliczenie ćwiczeń wpływa na ocenę po egzaminie, do którego dopuszczeni są wszyscy zarejestrowani studenci. Są zwolnienia z części zadaniowej egzaminu w nagrodę za dobre wyniki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 2. J.Leyko, J.Szmelter (red.): Zbiór zadań z mechaniki ogólnej, t I i II. PWN, Warszawa, 1983. 
3. I.W.Mieszczerski: Zbiór zadań z mechaniki. PWN, Warszaw, 1969. 
4. R.Romicki: Rozwiązania zadań z mechaniki zbioru I.W.Mieszczerskiego. PWN, Warszawa, 1971. 
5. F.P. Beer, E.R. Johnston. Vector mechanics for engineers. McGraw-Hill, 1977.
 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																					Student wie jak rozwiązywać proste problemy z zakresu mechaniki niutonowskiej.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																					Student wie jak wykorzystać rachunek różniczkowy i całkowy	w zagadnieniach kinematyki i dynamiki.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																					Student zna zakres stosowalności kinematyki i dynamiki niutonowskiej. Zna paradygmat tej dyscypliny.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														Student umie rozwiązywać proste problemy z zakresu kinematyki i dynamiki.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														Student umie rozwiązywać proste problemy z zakresu kinematyki i dynamiki.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																					Student umie wykorzystać podstawy rachunku różniczkowego i całkowego w kinematyce i dynamice.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																					Student umie wykorzystać podstawy rachunku różniczkowego i całkowego w kinematyce i dynamice.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																					Student umie określić obszar zagadnień, gdzie można skutecznie stosować narzędzia mechaniki niutonowskiej.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																					Student umie określić obszar zagadnień, gdzie można skutecznie stosować narzędzia mechaniki niutonowskiej.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NW115_K1: </w:t>
      </w:r>
    </w:p>
    <w:p>
      <w:pPr/>
      <w:r>
        <w:rPr/>
        <w:t xml:space="preserve">																					Student umie komunikować się w zakresie dotyczącym kinematyki i dynamiki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2025-12-27T14:48:15+01:00</dcterms:created>
  <dcterms:modified xsi:type="dcterms:W3CDTF">2025-12-27T14:48:15+01:00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