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obecność na wykładach - 30 godz.
2) Praca własna studenta 25 godz., w tym:
a) studia literaturowe, przygotowywanie się do wykładu - 15 godz.
b) przygotowywanie się do testu końcowego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Krystyna Wojcik, Public Relatins, Placet, Warszawa 2007.
 2. Henryk Król, Antoni Ludwiczyński, ZZL Tworzenie kapitału ludzkiego organizacji, PWN, Warszawa 2007.
 Dodatkowa literatura: 
J. Kowalczyk Grzenkowicz, J. Acimowicz, P. Jermakowicz, Rozwiązywanie konfliktów, sztuka negocjacji i komunikacji,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ML.NK376_W1: </w:t>
      </w:r>
    </w:p>
    <w:p>
      <w:pPr/>
      <w:r>
        <w:rPr/>
        <w:t xml:space="preserve">Zna podstawową terminologię w zakresie ZZL, rozumie jej źródła i zastosowania w praktyce. Ma uporządkowaną wiedzę w zakresie ZZL, podstaw, zakresu zastosowania. Zna wybrane, podstawowe, teorie i koncepcje w zakresie ZZL i potrafi je zastosować w praktyce. Ma podstawową wiedzę o funkcjach ZZL, o jego celach, podstawach, organizacji i funkcjonowaniu.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2025-12-03T07:28:10+01:00</dcterms:created>
  <dcterms:modified xsi:type="dcterms:W3CDTF">2025-12-03T07:28:10+01:00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