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S6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są podane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ok. – 120 godzin zajęć: wykłady / ćwiczenia / laboratoria / projekty. 
2. Praca własna studenta: ok. 90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4 punkty ECTS - liczba godzin kontaktowych: ok. – 120 godzin zajęć: wykłady / ćwiczenia / laboratoria / projekty.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są podane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są podane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są podane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są podane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Wszystkie efekty kształcenia, zakładane dla kierunku Mechanika i Budowa Maszyn i zawartych w nim specjalności, są realizowane w ramach przedmiotów obowiązkowych dla kierunku i specjalności. Przedmiot obieralny daje
studentowi możliwość poszerzenia wiedzy i nabycia dodatkowych umiejętności, odpowiadających indywidualnym zainteresowaniom. Szczegółowe efekty kształcenia są zdefiniowane w obrębie wybranego przedmiotu.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	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	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	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	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	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	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	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	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	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	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	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	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Szczegółowe informacje są podane w Karcie danego Przedmiotu.: </w:t>
      </w:r>
    </w:p>
    <w:p>
      <w:pPr/>
      <w:r>
        <w:rPr/>
        <w:t xml:space="preserve">Szczegółowe treści efektów kształcenia zależą od wybranego przedmiotu i są opisane w jego Karcie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Szczegółowe informacje nt. metod oceny efektów kształcenia są podane w Karcie danego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2025-04-10T22:14:09+02:00</dcterms:created>
  <dcterms:modified xsi:type="dcterms:W3CDTF">2025-04-10T22:14:09+02:00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