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godzin,
b) udział w laboratoriach - 15 godzin,
c) udział w konsultacjach - 10 godzin.
2) 20 godzin pracy własnej poświęconej poszerzeniu wiedzy teoretycznej z wykorzystaniem zalecanej literatury oraz ćwiczeniom komputerowym dla poznania działania komercyjnych kodów symulacji zagadnień mechaniki płynów i wymiany ciepła w zastosowaniach inżynierskich.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godzin,
b) laboratoria - 15 godzin,
c) konsultacje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15- godzin pracy laboratorium,
2) 10 - konsultacje przy programie komputerowym,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 
5. Modelowanie ustalonej i nieustalonej dyfuzji na siatkach objętości kontrolnych i elementów skończonych.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ML.NK347_W3: </w:t>
      </w:r>
    </w:p>
    <w:p>
      <w:pPr/>
      <w:r>
        <w:rPr/>
        <w:t xml:space="preserve">							Zna podstawowe metody analizy i oszacowania błędów rozwiązań numerycznych dla zagadnień opisanych równaniami różniczkowymi cząstkowymi.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ML.NK347_W3: </w:t>
      </w:r>
    </w:p>
    <w:p>
      <w:pPr/>
      <w:r>
        <w:rPr/>
        <w:t xml:space="preserve">							Zna podstawowe metody analizy i oszacowania błędów rozwiązań numerycznych dla zagadnień opisanych równaniami różniczkowymi cząstkowymi.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2026-07-28T05:17:42+02:00</dcterms:created>
  <dcterms:modified xsi:type="dcterms:W3CDTF">2026-07-28T05:17:42+02:00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