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18 godz., studiowanie literatury 41 godz., konsultacje 1 godz., przygotowanie do egzaminu 28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godziny wykładu 18 godz., konsultacje 1 godz., udział w egzaminach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wysokiego ciśnienia, regulatory ciśnienia,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 części pisemnej i ustnej egzaminu łącznie dwa pytania otwarte lub ich fragmenty dotyczące wiedzy teoretycznej o procesach fizycznych, towarzyszących pracy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podstawowe pojęcia związane z diagnozowaniem obiektów technicznych, a w szczególności pojazdów samochodowych oraz ma szczegółową wiedzę o parametrach diagnostycznych określających funkcjonowanie pojazdu samochodowego jako całości, jego układów, zespołów i podzespołów</w:t>
      </w:r>
    </w:p>
    <w:p>
      <w:pPr>
        <w:spacing w:before="60"/>
      </w:pPr>
      <w:r>
        <w:rPr/>
        <w:t xml:space="preserve">Weryfikacja: </w:t>
      </w:r>
    </w:p>
    <w:p>
      <w:pPr>
        <w:spacing w:before="20" w:after="190"/>
      </w:pPr>
      <w:r>
        <w:rPr/>
        <w:t xml:space="preserve">W części pisemnej i ustnej egzaminu łącznie dwa pytania otwarte lub ich fragmenty dotyczące podstawowych pojęć związanych zdiagnozowaniem obiektów technicznych, a w szczególności pojazdów samochodowych oraz parametrów diagnostycznych określających funkcjonowanie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 części pisemnej i ustnej egzaminu łącznie dwa pytania otwarte lub ich fragmenty dotyczące kryteriów oraz metody oceny stanu technicznego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 części pisemnej i ustnej egzaminu łącznie dwa pytania otwarte lub ich fragmenty dotyczące budowy, a także zasady działania stanowisk badawczych i urządzeń pomiarowych stosowanych przy diagnozowaniu pojazdów oraz znajomości idei stosowania, pełnionych zadań i zasady działania systemu diagnostyki pokładowej (OBD i EOBD) w pojazdach samochodowych,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 części pisemnej i ustnej egzaminu łącznie dwa pytania otwarte lub ich fragmenty dotyczące umiejętności pozyskiwania informacji z literatury w zakresie diagnozowania pojazdów samochodowych,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 części pisemnej i ustnej egzaminu łącznie dwa pytania otwarte lub ich fragmenty dotyczące umiejętności wstępnego planowania pomiarów związanych z diagnozowaniem samochodów, interpretowania uzyskanych wyników i wyciągania wniosków,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 części pisemnej i ustnej egzaminu łącznie dwa pytania otwarte lub ich fragmenty dotyczące umiejętności wykorzystania poznanych metod oceny stanu technicznego pojazdu do lokalizowania jego niesprawności, wymagane jest uzyskanie 50% maksymalnej liczby punktów.</w:t>
      </w:r>
    </w:p>
    <w:p>
      <w:pPr>
        <w:spacing w:before="20" w:after="190"/>
      </w:pPr>
      <w:r>
        <w:rPr>
          <w:b/>
          <w:bCs/>
        </w:rPr>
        <w:t xml:space="preserve">Powiązane charakterystyki kierunkowe: </w:t>
      </w:r>
      <w:r>
        <w:rPr/>
        <w:t xml:space="preserve">Tr1A_U18, Tr1A_U11</w:t>
      </w:r>
    </w:p>
    <w:p>
      <w:pPr>
        <w:spacing w:before="20" w:after="190"/>
      </w:pPr>
      <w:r>
        <w:rPr>
          <w:b/>
          <w:bCs/>
        </w:rPr>
        <w:t xml:space="preserve">Powiązane charakterystyki obszarowe: </w:t>
      </w:r>
      <w:r>
        <w:rPr/>
        <w:t xml:space="preserve">I.P6S_UW, III.P6S_UW.3.o,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2026-08-17T13:10:45+02:00</dcterms:created>
  <dcterms:modified xsi:type="dcterms:W3CDTF">2026-08-17T13:10:45+02:00</dcterms:modified>
</cp:coreProperties>
</file>

<file path=docProps/custom.xml><?xml version="1.0" encoding="utf-8"?>
<Properties xmlns="http://schemas.openxmlformats.org/officeDocument/2006/custom-properties" xmlns:vt="http://schemas.openxmlformats.org/officeDocument/2006/docPropsVTypes"/>
</file>