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konsultacje: 2 godz., udział w egzaminie: 2 godz., praca własna studenta z dokumentami, skryptem i ustawami: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aktualnego prawa transportowego obowiązującego w Polsce oraz Unii Europejskiej.</w:t>
      </w:r>
    </w:p>
    <w:p>
      <w:pPr>
        <w:keepNext w:val="1"/>
        <w:spacing w:after="10"/>
      </w:pPr>
      <w:r>
        <w:rPr>
          <w:b/>
          <w:bCs/>
        </w:rPr>
        <w:t xml:space="preserve">Treści kształcenia: </w:t>
      </w:r>
    </w:p>
    <w:p>
      <w:pPr>
        <w:spacing w:before="20" w:after="190"/>
      </w:pPr>
      <w:r>
        <w:rPr/>
        <w:t xml:space="preserve">Podstawowe pojęcia prawoznawstwa, drogi publiczne jako szczególne rodzaje nieruchomości, budowa i utrzymanie drogi publicznej, odpowiedzialność zarządcy drogi publicznej, podstawowe zasady prawa transportowego, prowadzenie działalności gospodarczej w zakresie przewozu, umowa przewozu, charakter prawny umowy przewozu, zawarcie umowy przewozu, regulaminy i ogólne warunki przewozu, zasady przewozu osób i przesyłek bagażowych, bilet, list bagażowy, prawa i obowiązki przewoźnika oraz pasażera, przewozy grupowe, zasady przewozu towarów, prawa i obowiązki wysyłającego i odbiorcy, list przewozowy, likwidacja przesyłki, przewóz rzeczy szczególnych oraz towarów niebezpiecznych, przewóz zwierząt, zadania i funkcje organów administracyjnych w zakresie wykonywania działalności przewozowej, odpowiedzialność cywilna za niewykonanie lub nienależyte wykonanie przewozu, inne umowy przewozowe, strategia rozwoju transportu w Polsce, zasady wykonywania przewozu na gruncie prawa międzynarodowego, a w szczególności prawa Unii Europejskiej.</w:t>
      </w:r>
    </w:p>
    <w:p>
      <w:pPr>
        <w:keepNext w:val="1"/>
        <w:spacing w:after="10"/>
      </w:pPr>
      <w:r>
        <w:rPr>
          <w:b/>
          <w:bCs/>
        </w:rPr>
        <w:t xml:space="preserve">Metody oceny: </w:t>
      </w:r>
    </w:p>
    <w:p>
      <w:pPr>
        <w:spacing w:before="20" w:after="190"/>
      </w:pPr>
      <w:r>
        <w:rPr/>
        <w:t xml:space="preserve">Sprawdzian pisemny obejmujący pytania testowe i pytania opisowe (tzw. kazusy).
Student, który zaliczył przedmiot potrafi:
3.0	udzielić odpowiedzi na przynajmniej połowę pytań testowych i rozwiązać przynajmniej jeden problem praktyczny
3.5	udzielić odpowiedzi na przynajmniej 60% pytań testowych i rozwiązać przynajmniej jeden problem praktyczny
4.0	udzielić odpowiedzi na przynajmniej 70% pytań testowych i rozwiązać przynajmniej jeden problem praktyczny
4.5	udzielić odpowiedzi na przynajmniej 80% pytań testowych i rozwiązać przynajmniej jeden problem praktyczny
5.0	udzielić odpowiedzi na 100% pytań testowych i rozwiązać przynajmniej jeden problem praktyczny lub udzielić odpowiedzi na przynajmniej 70% pytań testowych i rozwiązać co najmniej dwa problemy praktyczne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dodatkowa:
1) Wskazane akty prawne regulujące prowadzenie działalności transportowej _x000B_w szczególności prawo przewozowe.
2) Polkowska M.: Pojęcie szkody i odpowiedzialność cywilna przewoźnika w systemie warszawsko – montrealskim, Palestra z 2004 r. nr 9–10, s. 25–44;
3) Żylicz M., Międzynarodowe prawo lotnicze, Warszawa 2002;
4) Żylicz M., Zasady odpowiedzialności za szkodę na osobie pasażera w międzynarodowym, europejskim i polskim prawie lotniczym, Palestra z 2004 r. nr 5 – 6, s. 48-57.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podstawową terminologię funkcjonowania przedsiębiorstw w zakresie wykonywania działalności transportowej, zarządzania oraz prawa działalności gospodarczej - rozumie jej źródła i zastosowania w praktyce.</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Ma uporządkowaną wiedzę w zakresie wykonywania działalności transportowej - zawierania i wykonywania umów w zakresie transportu, a także wynikającej stąd odpowiedzialności.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2026-02-10T19:04:44+01:00</dcterms:created>
  <dcterms:modified xsi:type="dcterms:W3CDTF">2026-02-10T19:04:44+01:00</dcterms:modified>
</cp:coreProperties>
</file>

<file path=docProps/custom.xml><?xml version="1.0" encoding="utf-8"?>
<Properties xmlns="http://schemas.openxmlformats.org/officeDocument/2006/custom-properties" xmlns:vt="http://schemas.openxmlformats.org/officeDocument/2006/docPropsVTypes"/>
</file>