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- 10h-przegląd literatury, 12,5h –przygotowanie do egzaminu, 12,5 h – przygotowanie do ćwiczeń, 10 h – przygotowanie do kolokwium, łącznie 45h
</w:t>
      </w:r>
    </w:p>
    <w:p>
      <w:pPr>
        <w:keepNext w:val="1"/>
        <w:spacing w:after="10"/>
      </w:pPr>
      <w:r>
        <w:rPr>
          <w:b/>
          <w:bCs/>
        </w:rPr>
        <w:t xml:space="preserve">Liczba punktów ECTS na zajęciach wymagających bezpośredniego udziału nauczycieli akademickich: </w:t>
      </w:r>
    </w:p>
    <w:p>
      <w:pPr>
        <w:spacing w:before="20" w:after="190"/>
      </w:pPr>
      <w:r>
        <w:rPr/>
        <w:t xml:space="preserve">1,92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Liczba godzin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2026-04-18T10:51:56+02:00</dcterms:created>
  <dcterms:modified xsi:type="dcterms:W3CDTF">2026-04-18T10:51:56+02:00</dcterms:modified>
</cp:coreProperties>
</file>

<file path=docProps/custom.xml><?xml version="1.0" encoding="utf-8"?>
<Properties xmlns="http://schemas.openxmlformats.org/officeDocument/2006/custom-properties" xmlns:vt="http://schemas.openxmlformats.org/officeDocument/2006/docPropsVTypes"/>
</file>