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- 10h-przegląd literatury, 10,5h –przygotowanie do egzaminu, 12,5 h – przygotowanie do ćwiczeń, 10 h – przygotowanie do kolokwium, łącznie 43h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K_W13: </w:t>
      </w:r>
    </w:p>
    <w:p>
      <w:pPr/>
      <w:r>
        <w:rPr/>
        <w:t xml:space="preserve">Student powinien posiadać wiedzę z zakresu różnych form internacjonalizacji przedsiębiorstw i metod ich wyboru</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2026-09-08T03:20:39+02:00</dcterms:created>
  <dcterms:modified xsi:type="dcterms:W3CDTF">2026-09-08T03:20:39+02:00</dcterms:modified>
</cp:coreProperties>
</file>

<file path=docProps/custom.xml><?xml version="1.0" encoding="utf-8"?>
<Properties xmlns="http://schemas.openxmlformats.org/officeDocument/2006/custom-properties" xmlns:vt="http://schemas.openxmlformats.org/officeDocument/2006/docPropsVTypes"/>
</file>