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- 10 godz., zapoznanie się z literaturą - 12 godz., przygotowanie projektu i obrona - 20 godz., przygotowanie do zaliczenia i obecność na nim - 9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Mrowiec M.: Retencja wód opadowych w obszarach zurbanizowanych, Wydawnictwo Politechniki Częstochowskiej, 2020.
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podstawowych procesach fizycznych odpowiedzialnych za zjawiska spływu i odpływu zachodzące w małych zlewniach.
</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W02: </w:t>
      </w:r>
    </w:p>
    <w:p>
      <w:pPr/>
      <w:r>
        <w:rPr/>
        <w:t xml:space="preserve">Zna zależności zachodzące pomiędzy parametrami opadu a wielkością przepływów maksymalnych w zlewni i sposoby ich ograniczania.</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wyznaczać granice zlewni i budować sieć powiązań hydrograficznych.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Absolwent potrafi posługiwać się prostymi modelami typu „opad-odpływ”.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2025-12-03T13:08:17+01:00</dcterms:created>
  <dcterms:modified xsi:type="dcterms:W3CDTF">2025-12-03T13:08:17+01:00</dcterms:modified>
</cp:coreProperties>
</file>

<file path=docProps/custom.xml><?xml version="1.0" encoding="utf-8"?>
<Properties xmlns="http://schemas.openxmlformats.org/officeDocument/2006/custom-properties" xmlns:vt="http://schemas.openxmlformats.org/officeDocument/2006/docPropsVTypes"/>
</file>