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w:t>
      </w:r>
    </w:p>
    <w:p>
      <w:pPr>
        <w:keepNext w:val="1"/>
        <w:spacing w:after="10"/>
      </w:pPr>
      <w:r>
        <w:rPr>
          <w:b/>
          <w:bCs/>
        </w:rPr>
        <w:t xml:space="preserve">Koordynator przedmiotu: </w:t>
      </w:r>
    </w:p>
    <w:p>
      <w:pPr>
        <w:spacing w:before="20" w:after="190"/>
      </w:pPr>
      <w:r>
        <w:rPr/>
        <w:t xml:space="preserve">Katarzyna Orzechowska, Ewa Piątkowska-Janko, Tymon Rubel, Damian Wanta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 w tym
obecność na wykładach 15 godz.,
obecność na laboratorium 15 godz.,
konsultacje przed sprawdzianem i laboratorium 5 godz.,
2.	praca własna studenta – 45 godz., w tym
przygotowanie do wykładu 5 godz.,
przygotowanie do laboratorium 20 godz.,
przygotowanie do sprawdzianu 20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35 godz., w tym
- obecność na wykładach 15 godz.,
- obecność na laboratorium 15 godz.,
- konsultacje przed sprawdzianem i laboratorium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1,31 pkt. ECTS, co odpowiada 15 godz. ćwiczeń laboratoryjnych plus 20 godz. przygotowań do laboratorium.</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Zapoznanie studentów z podstawowymi metodami grafiki komputerowej, służącymi wizualizacji wspierającej użytkowanie informacji w naukach biomedycznych, w szczególności przy wykorzystywaniu obrazowania medycznego w diagnostyce i terapii 
2.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 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
</w:t>
      </w:r>
    </w:p>
    <w:p>
      <w:pPr>
        <w:keepNext w:val="1"/>
        <w:spacing w:after="10"/>
      </w:pPr>
      <w:r>
        <w:rPr>
          <w:b/>
          <w:bCs/>
        </w:rPr>
        <w:t xml:space="preserve">Metody oceny: </w:t>
      </w:r>
    </w:p>
    <w:p>
      <w:pPr>
        <w:spacing w:before="20" w:after="190"/>
      </w:pPr>
      <w:r>
        <w:rPr/>
        <w:t xml:space="preserve">Kolokwia dotyczące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J. Zabrodzki, Grafika komputerowa, metody i narzędzia, WNT, 1994.
J.D. Foley, A. Dam, J. Hughes, R. Phillips, Wprowadzenie do grafiki komputerowej, WNT, 1995.
P. Shirley, Fundamentals of Computer Graphics, CRC Press, 2009.
G. Dougherty, Digital Image Processing for Medical Applications, Cambridge University Press, 2009.
Oprogramowanie
Matlab (www.mathworsk.com, licencja TAH)
Blender (www.blender.org)
ImageJ (imagej.nih.gov/ij)
MeVisLab (www.mevislab.de)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GK _W1: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GK _W2: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GK _W3: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GK _U01: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charakterystyki kierunkowe: </w:t>
      </w:r>
      <w:r>
        <w:rPr/>
        <w:t xml:space="preserve">K_U06, K_U08, K_U09</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2026-07-28T00:12:41+02:00</dcterms:created>
  <dcterms:modified xsi:type="dcterms:W3CDTF">2026-07-28T00:12:41+02:00</dcterms:modified>
</cp:coreProperties>
</file>

<file path=docProps/custom.xml><?xml version="1.0" encoding="utf-8"?>
<Properties xmlns="http://schemas.openxmlformats.org/officeDocument/2006/custom-properties" xmlns:vt="http://schemas.openxmlformats.org/officeDocument/2006/docPropsVTypes"/>
</file>