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Marketing terytorialny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Hanna Trojanowska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GP.SMS287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kontaktowych: 20, w tym:
a) udział w wykładach - 15 godz., 
b) udział w konsultacjach - 5 godz.
2. Praca własna studenta –5 godzin, w tym:
a) przygotowanie do zaliczenia i obecność na zaliczeniu - 5godz. 
Łączny nakład pracy studenta wynosi 25 godzin, co odpowiada 1 punktom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0,8, pkt. ECTS - liczba godzin kontaktowych: 20, w tym:
a) udział w wykładach - 15 godz., 
b) udział w konsultacjach - 5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ekonomii, funkcjonowanie samorządu terytorialnego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60 - studentów na wykładzie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Wiedza na temat podstaw marketingu, produktu terytorialnego, narzędzi marketingowych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Marketing – podstawowe pojęcia. Marketing – mix.
Psychologiczne aspekty marketingu.
Istota  marketingu terytorialnego. 
Marka kraju, marka regionu. 
Instrumenty terytorialnego marketingu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 kolokwium, albo odpowiedź ustna, albo prezetacja, raport, esej.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Simon Anholt. Tożsamość konkurencyjna. Nowe spojrzenie na markę, Warszawa, 2007.
2. Gospodarka regionalna i lokalna, red. Z. Strzelecki, PWN, Warszawa 2009.
3. Wally Olins, O marce, Instytut Marki Polskiej, Wyd. I, Warszawa 2004.
4. Andrzej Szromnik, Marketing terytorialny. Miasto i region na rynku, Oficyna a Wolters  Kluwer business, Kraków 2012.
5. Philip Kotler, Marketing. Analiza, planowanie wdrażanie i kontrola. FELBERG, Warszawa 1999 (lub każde następne wydanie)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GP.SMS287_W1: </w:t>
      </w:r>
    </w:p>
    <w:p>
      <w:pPr/>
      <w:r>
        <w:rPr/>
        <w:t xml:space="preserve">Zna instrumenty marketingu terytorialnego i ich zastosowanie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S2A_W07</w:t>
      </w:r>
    </w:p>
    <w:p>
      <w:pPr>
        <w:keepNext w:val="1"/>
        <w:spacing w:after="10"/>
      </w:pPr>
      <w:r>
        <w:rPr>
          <w:b/>
          <w:bCs/>
        </w:rPr>
        <w:t xml:space="preserve">Efekt GP.SMS287_W2: </w:t>
      </w:r>
    </w:p>
    <w:p>
      <w:pPr/>
      <w:r>
        <w:rPr/>
        <w:t xml:space="preserve">Rozumie istotę marketingu terytorialnego i jego wpływ na rozwój regionalny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S2A_W07</w:t>
      </w:r>
    </w:p>
    <w:p>
      <w:pPr>
        <w:keepNext w:val="1"/>
        <w:spacing w:after="10"/>
      </w:pPr>
      <w:r>
        <w:rPr>
          <w:b/>
          <w:bCs/>
        </w:rPr>
        <w:t xml:space="preserve">Efekt GP.SMS287_W3: </w:t>
      </w:r>
    </w:p>
    <w:p>
      <w:pPr/>
      <w:r>
        <w:rPr/>
        <w:t xml:space="preserve">Ma interdyscyplinarną wiedzę dotycząca działalności inżynierskiej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T2A_W08</w:t>
      </w:r>
    </w:p>
    <w:p>
      <w:pPr>
        <w:keepNext w:val="1"/>
        <w:spacing w:after="10"/>
      </w:pPr>
      <w:r>
        <w:rPr>
          <w:b/>
          <w:bCs/>
        </w:rPr>
        <w:t xml:space="preserve">Efekt GP.SMS287_W4: </w:t>
      </w:r>
    </w:p>
    <w:p>
      <w:pPr/>
      <w:r>
        <w:rPr/>
        <w:t xml:space="preserve">Ma wiedzę o interdyscyplinarności procesu planowania i zarządzania w kraju i w Europie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GP.SMS287_U1: </w:t>
      </w:r>
    </w:p>
    <w:p>
      <w:pPr/>
      <w:r>
        <w:rPr/>
        <w:t xml:space="preserve">Wie jak analizować uwarunkowania procesu planowania przestrzennego związane z marketingiem terytorialnym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S2A_U03, T2A_U10</w:t>
      </w:r>
    </w:p>
    <w:p>
      <w:pPr>
        <w:keepNext w:val="1"/>
        <w:spacing w:after="10"/>
      </w:pPr>
      <w:r>
        <w:rPr>
          <w:b/>
          <w:bCs/>
        </w:rPr>
        <w:t xml:space="preserve">Efekt GP.SMS287_U2: </w:t>
      </w:r>
    </w:p>
    <w:p>
      <w:pPr/>
      <w:r>
        <w:rPr/>
        <w:t xml:space="preserve">Potrafi analizować wieloaspektowość procesu planowania przestrzennego, w tym aspekty marketingowe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S2A_U03, T2A_U10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GP.SMS287_K1: </w:t>
      </w:r>
    </w:p>
    <w:p>
      <w:pPr/>
      <w:r>
        <w:rPr/>
        <w:t xml:space="preserve">Jest świadomy skutków swojej działalności
i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</w:t>
      </w:r>
    </w:p>
    <w:p>
      <w:pPr>
        <w:keepNext w:val="1"/>
        <w:spacing w:after="10"/>
      </w:pPr>
      <w:r>
        <w:rPr>
          <w:b/>
          <w:bCs/>
        </w:rPr>
        <w:t xml:space="preserve">Efekt GP.SMS287_K2: </w:t>
      </w:r>
    </w:p>
    <w:p>
      <w:pPr/>
      <w:r>
        <w:rPr/>
        <w:t xml:space="preserve">Potrafi uwzględniać różne kierunki swojej działalności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</w:t>
      </w:r>
    </w:p>
    <w:p>
      <w:pPr>
        <w:keepNext w:val="1"/>
        <w:spacing w:after="10"/>
      </w:pPr>
      <w:r>
        <w:rPr>
          <w:b/>
          <w:bCs/>
        </w:rPr>
        <w:t xml:space="preserve">Efekt GP.SMS287_K3: </w:t>
      </w:r>
    </w:p>
    <w:p>
      <w:pPr/>
      <w:r>
        <w:rPr/>
        <w:t xml:space="preserve">Potrafi uwzględniać różne kierunki swojej działalności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S2A_K05</w:t>
      </w:r>
    </w:p>
    <w:p>
      <w:pPr>
        <w:keepNext w:val="1"/>
        <w:spacing w:after="10"/>
      </w:pPr>
      <w:r>
        <w:rPr>
          <w:b/>
          <w:bCs/>
        </w:rPr>
        <w:t xml:space="preserve">Efekt GP.SMS287_K4: </w:t>
      </w:r>
    </w:p>
    <w:p>
      <w:pPr/>
      <w:r>
        <w:rPr/>
        <w:t xml:space="preserve">Potrafi przewidywać różnorodne skutki swojej działalności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2026-09-12T00:21:35+02:00</dcterms:created>
  <dcterms:modified xsi:type="dcterms:W3CDTF">2026-09-12T00:21:35+02:00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