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 i 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w tym:
1. Liczba godzin kontaktowych - 40 godzin, w tym: 
a) obecność na wykładach - 30 godz. 
b)konsultacje - 8 godz. 
c) obecność na zaliczeniu - 2 godz.  
2. Praca własna studenta - 10 godzi, w tym: 
czytanie literatury i przygotowanie do zaliczenia 10 godz
 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1. Liczba godzin kontaktowych - 40 godzin, w tym: 
a) obecność na wykładach - 30 godz. 
b)konsultacje - 8 godz. 
c) obecność na zaliczeniu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elementów problematyki prawnej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Ogólne wprowadzenie do przedmiotu. Makroekonomiczne uwarunkowania polityki regionalnej. Produkt krajowy brutto a polityka regionalna. Inflacja i bezrobocie w polityce regionalnej. Wzrost gospodarczy a polityka regionalna. Zasady konsensusu społecznego w polityce regionalnej. Czynniki rozwoju regionalnego.  Społeczny wymiar polityki regionalnej. Partnerstwo w zarządzaniu rozwojem…. Polityka regionalna UE. Aspekty prawne. Kierunki reform w UE Regionalne zróżnicowanie rozwoju wsi.  Polityka regionalna jako instrument podwyższania konkurencyjności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pisemne), egzamin (ustny lub pisemny). Formy zaliczenia: test wyboru,  esej, wypowiedź ustna na dany temat, odpowiedź ustna, udział w dyskusji podczas zajęć. Studenci wyjątkowo aktywni na zajęciach mogą zostać zwolnieni z kolokwium.  Studenci z oceną bardzo dobrą z przedmiotu mogą zostać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Robert E. Hall, John B. Taylor, Makroekonomia, PWN, Warszawa 2002
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silnie skorelowany z przedmiotem Gospodarka przestrzenna w UE.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GP.SMK115_W4: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GP.SMK115_U8: </w:t>
      </w:r>
    </w:p>
    <w:p>
      <w:pPr/>
      <w:r>
        <w:rPr/>
        <w:t xml:space="preserve">Potrafi sformułować założenia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keepNext w:val="1"/>
        <w:spacing w:after="10"/>
      </w:pPr>
      <w:r>
        <w:rPr>
          <w:b/>
          <w:bCs/>
        </w:rPr>
        <w:t xml:space="preserve">Efekt GP.SMK115_U9: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GP.SMK115_K6: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2026-05-10T03:55:46+02:00</dcterms:created>
  <dcterms:modified xsi:type="dcterms:W3CDTF">2026-05-10T03:55:46+02:00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