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keepNext w:val="1"/><w:spacing w:after="10"/></w:pPr><w:r><w:rPr><w:b/><w:bCs/></w:rPr><w:t xml:space="preserve">Nazwa przedmiotu: </w:t></w:r></w:p><w:p><w:pPr><w:spacing w:before="20" w:after="190"/></w:pPr><w:r><w:rPr/><w:t xml:space="preserve">Analiza konstrukcji pomiarowych</w:t></w:r></w:p><w:p><w:pPr><w:keepNext w:val="1"/><w:spacing w:after="10"/></w:pPr><w:r><w:rPr><w:b/><w:bCs/></w:rPr><w:t xml:space="preserve">Koordynator przedmiotu: </w:t></w:r></w:p><w:p><w:pPr><w:spacing w:before="20" w:after="190"/></w:pPr><w:r><w:rPr/><w:t xml:space="preserve">dr hab. inż. Mieczysław Kwaśniak, prof. PW</w:t></w:r></w:p><w:p><w:pPr><w:keepNext w:val="1"/><w:spacing w:after="10"/></w:pPr><w:r><w:rPr><w:b/><w:bCs/></w:rPr><w:t xml:space="preserve">Status przedmiotu: </w:t></w:r></w:p><w:p><w:pPr><w:spacing w:before="20" w:after="190"/></w:pPr><w:r><w:rPr/><w:t xml:space="preserve">Obowiązkowy</w:t></w:r></w:p><w:p><w:pPr><w:keepNext w:val="1"/><w:spacing w:after="10"/></w:pPr><w:r><w:rPr><w:b/><w:bCs/></w:rPr><w:t xml:space="preserve">Poziom kształcenia: </w:t></w:r></w:p><w:p><w:pPr><w:spacing w:before="20" w:after="190"/></w:pPr><w:r><w:rPr/><w:t xml:space="preserve">Studia II stopnia</w:t></w:r></w:p><w:p><w:pPr><w:keepNext w:val="1"/><w:spacing w:after="10"/></w:pPr><w:r><w:rPr><w:b/><w:bCs/></w:rPr><w:t xml:space="preserve">Program: </w:t></w:r></w:p><w:p><w:pPr><w:spacing w:before="20" w:after="190"/></w:pPr><w:r><w:rPr/><w:t xml:space="preserve">Geodezja i Kartografia</w:t></w:r></w:p><w:p><w:pPr><w:keepNext w:val="1"/><w:spacing w:after="10"/></w:pPr><w:r><w:rPr><w:b/><w:bCs/></w:rPr><w:t xml:space="preserve">Grupa przedmiotów: </w:t></w:r></w:p><w:p><w:pPr><w:spacing w:before="20" w:after="190"/></w:pPr><w:r><w:rPr/><w:t xml:space="preserve">Obowiązkowe</w:t></w:r></w:p><w:p><w:pPr><w:keepNext w:val="1"/><w:spacing w:after="10"/></w:pPr><w:r><w:rPr><w:b/><w:bCs/></w:rPr><w:t xml:space="preserve">Kod przedmiotu: </w:t></w:r></w:p><w:p><w:pPr><w:spacing w:before="20" w:after="190"/></w:pPr><w:r><w:rPr/><w:t xml:space="preserve">GK.NMS315</w:t></w:r></w:p><w:p><w:pPr><w:keepNext w:val="1"/><w:spacing w:after="10"/></w:pPr><w:r><w:rPr><w:b/><w:bCs/></w:rPr><w:t xml:space="preserve">Semestr nominalny: </w:t></w:r></w:p><w:p><w:pPr><w:spacing w:before="20" w:after="190"/></w:pPr><w:r><w:rPr/><w:t xml:space="preserve">3 / rok ak. 2021/2022</w:t></w:r></w:p><w:p><w:pPr><w:keepNext w:val="1"/><w:spacing w:after="10"/></w:pPr><w:r><w:rPr><w:b/><w:bCs/></w:rPr><w:t xml:space="preserve">Liczba punktów ECTS: </w:t></w:r></w:p><w:p><w:pPr><w:spacing w:before="20" w:after="190"/></w:pPr><w:r><w:rPr/><w:t xml:space="preserve">4</w:t></w:r></w:p><w:p><w:pPr><w:keepNext w:val="1"/><w:spacing w:after="10"/></w:pPr><w:r><w:rPr><w:b/><w:bCs/></w:rPr><w:t xml:space="preserve">Liczba godzin pracy studenta związanych z osiągnięciem efektów uczenia się: </w:t></w:r></w:p><w:p><w:pPr><w:spacing w:before="20" w:after="190"/></w:pPr><w:r><w:rPr/><w:t xml:space="preserve">1. Liczba godzin kontaktowych - 29 godzin, w tym:
a) udział w wykładach - 16 godzin,
b) udział w ćwiczeniach - 8 godzin,
c) udział w konsultacjach - 3 godziny,
d) udział w egzaminie - 2 godziny.
2. Praca własna studenta - 80 godzin, w tym:
a) wykonanie (w domu) niezbędnych analiz i obliczeń oraz operatów z ćwiczeń projektowych - 45 godzin,
b) zapoznanie się ze wskazaną literaturą - 15 godzin,
c) przygotowanie do egzaminu - 20 godzin.
Razem: 108 godzin = 4 ECTS</w:t></w:r></w:p><w:p><w:pPr><w:keepNext w:val="1"/><w:spacing w:after="10"/></w:pPr><w:r><w:rPr><w:b/><w:bCs/></w:rPr><w:t xml:space="preserve">Liczba punktów ECTS na zajęciach wymagających bezpośredniego udziału nauczycieli akademickich: </w:t></w:r></w:p><w:p><w:pPr><w:spacing w:before="20" w:after="190"/></w:pPr><w:r><w:rPr/><w:t xml:space="preserve">1,5 punktu ECTS - liczba godzin kontaktowych - 29 godzin, w tym:
a) udział w wykładach - 16 godzin,
b) udział w ćwiczeniach - 8 godzin,
c) udział w konsultacjach - 3 godziny,
d) udział w egzaminie - 2 godziny.</w:t></w:r></w:p><w:p><w:pPr><w:keepNext w:val="1"/><w:spacing w:after="10"/></w:pPr><w:r><w:rPr><w:b/><w:bCs/></w:rPr><w:t xml:space="preserve">Język prowadzenia zajęć: </w:t></w:r></w:p><w:p><w:pPr><w:spacing w:before="20" w:after="190"/></w:pPr><w:r><w:rPr/><w:t xml:space="preserve">polski</w:t></w:r></w:p><w:p><w:pPr><w:keepNext w:val="1"/><w:spacing w:after="10"/></w:pPr><w:r><w:rPr><w:b/><w:bCs/></w:rPr><w:t xml:space="preserve">Liczba punktów ECTS, którą student uzyskuje w ramach zajęć o charakterze praktycznym: </w:t></w:r></w:p><w:p><w:pPr><w:spacing w:before="20" w:after="190"/></w:pPr><w:r><w:rPr/><w:t xml:space="preserve">2 punkty ECTS - 53 godziny, w tym:
a) udział w ćwiczeniach - 8 godzin,
b) wykonanie (w domu) niezbędnych analiz i obliczeń oraz operatów z ćwiczeń projektowych - 45 godzin.
</w:t></w:r></w:p><w:p><w:pPr><w:keepNext w:val="1"/><w:spacing w:after="10"/></w:pPr><w:r><w:rPr><w:b/><w:bCs/></w:rPr><w:t xml:space="preserve">Formy zajęć i ich wymiar w semestrze: </w:t></w:r></w:p><w:tbl><w:tblGrid><w:gridCol w:w="2200" w:type="dxa"/><w:gridCol w:w="2200" w:type="dxa"/></w:tblGrid><w:tblPr><w:tblW w:w="2500" w:type="auto"/><w:tblBorders><w:top w:val="single" w:sz="0" w:color="FFFFFF"/><w:left w:val="single" w:sz="0" w:color="FFFFFF"/><w:right w:val="single" w:sz="0" w:color="FFFFFF"/><w:bottom w:val="single" w:sz="0" w:color="FFFFFF"/><w:insideH w:val="single" w:sz="0" w:color="FFFFFF"/><w:insideV w:val="single" w:sz="0" w:color="FFFFFF"/></w:tblBorders></w:tblPr><w:tr><w:trPr><w:trHeight w:val="250" w:hRule="atLeast"/></w:trPr><w:tc><w:tcPr><w:tcW w:w="2200" w:type="dxa"/></w:tcPr><w:p><w:pPr/><w:r><w:rPr/><w:t xml:space="preserve">Wykład: </w:t></w:r></w:p></w:tc><w:tc><w:tcPr><w:tcW w:w="2200" w:type="dxa"/></w:tcPr><w:p><w:pPr/><w:r><w:rPr/><w:t xml:space="preserve">30h</w:t></w:r></w:p></w:tc></w:tr><w:tr><w:trPr><w:trHeight w:val="250" w:hRule="atLeast"/></w:trPr><w:tc><w:tcPr><w:tcW w:w="2200" w:type="dxa"/></w:tcPr><w:p><w:pPr/><w:r><w:rPr/><w:t xml:space="preserve">Ćwiczenia: </w:t></w:r></w:p></w:tc><w:tc><w:tcPr><w:tcW w:w="2200" w:type="dxa"/></w:tcPr><w:p><w:pPr/><w:r><w:rPr/><w:t xml:space="preserve">15h</w:t></w:r></w:p></w:tc></w:tr><w:tr><w:trPr><w:trHeight w:val="250" w:hRule="atLeast"/></w:trPr><w:tc><w:tcPr><w:tcW w:w="2200" w:type="dxa"/></w:tcPr><w:p><w:pPr/><w:r><w:rPr/><w:t xml:space="preserve">Laboratorium: </w:t></w:r></w:p></w:tc><w:tc><w:tcPr><w:tcW w:w="2200" w:type="dxa"/></w:tcPr><w:p><w:pPr/><w:r><w:rPr/><w:t xml:space="preserve">0h</w:t></w:r></w:p></w:tc></w:tr><w:tr><w:trPr><w:trHeight w:val="250" w:hRule="atLeast"/></w:trPr><w:tc><w:tcPr><w:tcW w:w="2200" w:type="dxa"/></w:tcPr><w:p><w:pPr/><w:r><w:rPr/><w:t xml:space="preserve">Projekt: </w:t></w:r></w:p></w:tc><w:tc><w:tcPr><w:tcW w:w="2200" w:type="dxa"/></w:tcPr><w:p><w:pPr/><w:r><w:rPr/><w:t xml:space="preserve">0h</w:t></w:r></w:p></w:tc></w:tr><w:tr><w:trPr><w:trHeight w:val="250" w:hRule="atLeast"/></w:trPr><w:tc><w:tcPr><w:tcW w:w="2200" w:type="dxa"/></w:tcPr><w:p><w:pPr/><w:r><w:rPr/><w:t xml:space="preserve">Lekcje komputerowe: </w:t></w:r></w:p></w:tc><w:tc><w:tcPr><w:tcW w:w="2200" w:type="dxa"/></w:tcPr><w:p><w:pPr/><w:r><w:rPr/><w:t xml:space="preserve">0h</w:t></w:r></w:p></w:tc></w:tr></w:tbl><w:p/><w:p><w:pPr><w:keepNext w:val="1"/><w:spacing w:after="10"/></w:pPr><w:r><w:rPr><w:b/><w:bCs/></w:rPr><w:t xml:space="preserve">Wymagania wstępne: </w:t></w:r></w:p><w:p><w:pPr><w:spacing w:before="20" w:after="190"/></w:pPr><w:r><w:rPr/><w:t xml:space="preserve">Powinien posiadać podstawową wiedzę z zakresu algebry liniowej w geodezji, geodezyjnego rachunku wyrównawczego oraz geodezji inżynieryjno - przemysłowej. </w:t></w:r></w:p><w:p><w:pPr><w:keepNext w:val="1"/><w:spacing w:after="10"/></w:pPr><w:r><w:rPr><w:b/><w:bCs/></w:rPr><w:t xml:space="preserve">Limit liczby studentów: </w:t></w:r></w:p><w:p><w:pPr><w:spacing w:before="20" w:after="190"/></w:pPr><w:r><w:rPr/><w:t xml:space="preserve">30</w:t></w:r></w:p><w:p><w:pPr><w:keepNext w:val="1"/><w:spacing w:after="10"/></w:pPr><w:r><w:rPr><w:b/><w:bCs/></w:rPr><w:t xml:space="preserve">Cel przedmiotu: </w:t></w:r></w:p><w:p><w:pPr><w:spacing w:before="20" w:after="190"/></w:pPr><w:r><w:rPr/><w:t xml:space="preserve">Zapoznanie się z podstawami teoretycznymi analiz dokładności i niezawodności sieci geodezyjnych. Nabycie umiejętności wykonywania analiz dokładności i niezawodności dla konkretnych sieci.</w:t></w:r></w:p><w:p><w:pPr><w:keepNext w:val="1"/><w:spacing w:after="10"/></w:pPr><w:r><w:rPr><w:b/><w:bCs/></w:rPr><w:t xml:space="preserve">Treści kształcenia: </w:t></w:r></w:p><w:p><w:pPr><w:spacing w:before="20" w:after="190"/></w:pPr><w:r><w:rPr/><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w:t></w:r></w:p><w:p><w:pPr><w:keepNext w:val="1"/><w:spacing w:after="10"/></w:pPr><w:r><w:rPr><w:b/><w:bCs/></w:rPr><w:t xml:space="preserve">Metody oceny: </w:t></w:r></w:p><w:p><w:pPr><w:spacing w:before="20" w:after="190"/></w:pPr><w:r><w:rPr/><w:t xml:space="preserve">Zaliczenie wykładu: egzamin.
Zaliczenie ćwiczeń projektowych: obowiązek uczestnictwa w zajęciach; dopuszczalne są 2 nieobecności usprawiedliwione. Obowiązek usprawiedliwienia nieobecności w terminie np. 2 tygodni po nieobecności na zajęciach. Należy ustalić z prowadzącym zajęcia sposób odrabiania zaległych zajęć. Warunkiem dopuszczenia do egzaminu jest zaliczenie ćwiczeń. 
Sposób bieżącej kontroli wyników nauczania: pytania sprawdzające stopień przygotowania do wykonywania ćwiczeń.  
Tryb i terminarz zaliczeń:
•	Wykład - egzamin pisemny w terminie ustalonym przez dziekanat w Harmonogramie Sesji. Na egzaminie nie można korzystać z notatek ani skryptów. 
•	Ćwiczenia projektowe - zaliczenie na podstawie pozytywnej oceny poszczególnych tematów oraz aktywności w ćwiczeniach.</w:t></w:r></w:p><w:p><w:pPr><w:keepNext w:val="1"/><w:spacing w:after="10"/></w:pPr><w:r><w:rPr><w:b/><w:bCs/></w:rPr><w:t xml:space="preserve">Egzamin: </w:t></w:r></w:p><w:p><w:pPr><w:spacing w:before="20" w:after="190"/></w:pPr><w:r><w:rPr/><w:t xml:space="preserve">tak</w:t></w:r></w:p><w:p><w:pPr><w:keepNext w:val="1"/><w:spacing w:after="10"/></w:pPr><w:r><w:rPr><w:b/><w:bCs/></w:rPr><w:t xml:space="preserve">Literatura: </w:t></w:r></w:p><w:p><w:pPr><w:spacing w:before="20" w:after="190"/></w:pPr><w:r><w:rPr/><w:t xml:space="preserve">1. Praca zbiorowa (1990) Geodezja Inżynieryjna, Rozdz. „Podstawy analiz dokładnościowych w geodezyjnych pomiarach realizacyjnych”, wyd. II,  PPWK.
2.  Prószyński W., Kwaśniak M. (2002) Niezawodność sieci geodezyjnych, Oficyna Wyd. PW.
3. Podręczniki z zakresu geodezyjnego rachunku wyrównawczego (Skórczyński A., Adamczewski Z. , Wiśniewski Z.).
</w:t></w:r></w:p><w:p><w:pPr><w:keepNext w:val="1"/><w:spacing w:after="10"/></w:pPr><w:r><w:rPr><w:b/><w:bCs/></w:rPr><w:t xml:space="preserve">Witryna www przedmiotu: </w:t></w:r></w:p><w:p><w:pPr><w:spacing w:before="20" w:after="190"/></w:pPr><w:r><w:rPr/><w:t xml:space="preserve">brak</w:t></w:r></w:p><w:p><w:pPr><w:keepNext w:val="1"/><w:spacing w:after="10"/></w:pPr><w:r><w:rPr><w:b/><w:bCs/></w:rPr><w:t xml:space="preserve">Uwagi: </w:t></w:r></w:p><w:p><w:pPr><w:spacing w:before="20" w:after="190"/></w:pPr><w:r><w:rPr/><w:t xml:space="preserve">brak</w:t></w:r></w:p><w:p><w:pPr><w:pStyle w:val="Heading2"/></w:pPr><w:bookmarkStart w:id="1" w:name="_Toc1"/><w:r><w:t>Efekty przedmiotowe</w:t></w:r><w:bookmarkEnd w:id="1"/></w:p><w:p><w:pPr><w:pStyle w:val="Heading3"/></w:pPr><w:bookmarkStart w:id="2" w:name="_Toc2"/><w:r><w:t>Profil ogólnoakademicki - wiedza</w:t></w:r><w:bookmarkEnd w:id="2"/></w:p><w:p><w:pPr><w:keepNext w:val="1"/><w:spacing w:after="10"/></w:pPr><w:r><w:rPr><w:b/><w:bCs/></w:rPr><w:t xml:space="preserve">Efekt GK.NMS315_W1: </w:t></w:r></w:p><w:p><w:pPr/><w:r><w:rPr/><w:t xml:space="preserve">zna podstawy metodologiczne wykonywania wstępnych analiz dokładności w pomiarach inżynieryjnych </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GK.NMS315_W2: </w:t></w:r></w:p><w:p><w:pPr/><w:r><w:rPr/><w:t xml:space="preserve">zna podstawowe własności charakterystyk dokładności stosowanych w geodezyjnych pomiarach inżynieryjnych</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GK.NMS315_W3: </w:t></w:r></w:p><w:p><w:pPr/><w:r><w:rPr/><w:t xml:space="preserve">zna zależności między przemieszczeniem badanego obiektu, a przemieszczeniami jego wybranych punktów</w:t></w:r></w:p><w:p><w:pPr><w:spacing w:before="60"/></w:pPr><w:r><w:rPr/><w:t xml:space="preserve">Weryfikacja: </w:t></w:r></w:p><w:p><w:pPr><w:spacing w:before="20" w:after="190"/></w:pPr><w:r><w:rPr/><w:t xml:space="preserve">zaliczenie ćwiczenia i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GK.NMS315_W4: </w:t></w:r></w:p><w:p><w:pPr/><w:r><w:rPr/><w:t xml:space="preserve">zna podstawowe rodzaje nawiązań sieci i związane z nimi metody wstępnych analiz dokładności</w:t></w:r></w:p><w:p><w:pPr><w:spacing w:before="60"/></w:pPr><w:r><w:rPr/><w:t xml:space="preserve">Weryfikacja: </w:t></w:r></w:p><w:p><w:pPr><w:spacing w:before="20" w:after="190"/></w:pPr><w:r><w:rPr/><w:t xml:space="preserve">zaliczenie odpowiedniego ćwiczenia i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GK.NMS315_W5: </w:t></w:r></w:p><w:p><w:pPr/><w:r><w:rPr/><w:t xml:space="preserve">zna zasadę wyrównania swobodnego sieci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K_W01, K_W13</w:t></w:r></w:p><w:p><w:pPr><w:spacing w:before="20" w:after="190"/></w:pPr><w:r><w:rPr><w:b/><w:bCs/></w:rPr><w:t xml:space="preserve">Powiązane efekty obszarowe: </w:t></w:r><w:r><w:rPr/><w:t xml:space="preserve">T2A_W01, T2A_W02, T2A_W03, T2A_W07</w:t></w:r></w:p><w:p><w:pPr><w:keepNext w:val="1"/><w:spacing w:after="10"/></w:pPr><w:r><w:rPr><w:b/><w:bCs/></w:rPr><w:t xml:space="preserve">Efekt GK.NMS315_W6: </w:t></w:r></w:p><w:p><w:pPr/><w:r><w:rPr/><w:t xml:space="preserve">zna sposoby analizy dokładności dla podstawowych metod tyczenia</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GK.NMS315_W7: </w:t></w:r></w:p><w:p><w:pPr/><w:r><w:rPr/><w:t xml:space="preserve">ma wiedzę w zakresie podstaw teorii niezawodności układów obserwacyjnych</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pStyle w:val="Heading3"/></w:pPr><w:bookmarkStart w:id="3" w:name="_Toc3"/><w:r><w:t>Profil ogólnoakademicki - umiejętności</w:t></w:r><w:bookmarkEnd w:id="3"/></w:p><w:p><w:pPr><w:keepNext w:val="1"/><w:spacing w:after="10"/></w:pPr><w:r><w:rPr><w:b/><w:bCs/></w:rPr><w:t xml:space="preserve">Efekt GK.NMS315_U1: </w:t></w:r></w:p><w:p><w:pPr/><w:r><w:rPr/><w:t xml:space="preserve">potrafi przeprowadzić wstępną analizę dokładności dla określonego zadania pomiarowego</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GK.NMS315_U2: </w:t></w:r></w:p><w:p><w:pPr/><w:r><w:rPr/><w:t xml:space="preserve">potrafi przeanalizować układ obserwacyjny pod kątem możliwości wyeliminowania bądź ograniczenia wpływów mających charakter inny niż przypadkowy</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GK.NMS315_U3: </w:t></w:r></w:p><w:p><w:pPr/><w:r><w:rPr/><w:t xml:space="preserve">potrafi wykonać analizę niezawodności danego układu obserwacyjnego oraz w razie potrzeby zaproponować sposób jego przeprojektowania</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K_U15, K_U17</w:t></w:r></w:p><w:p><w:pPr><w:spacing w:before="20" w:after="190"/></w:pPr><w:r><w:rPr><w:b/><w:bCs/></w:rPr><w:t xml:space="preserve">Powiązane efekty obszarowe: </w:t></w:r><w:r><w:rPr/><w:t xml:space="preserve">T2A_U07, T2A_U08, T2A_U09, T2A_U12, T2A_U16, T2A_U18, T2A_U15, T2A_U09, T2A_U17</w:t></w:r></w:p><w:p><w:pPr><w:pStyle w:val="Heading3"/></w:pPr><w:bookmarkStart w:id="4" w:name="_Toc4"/><w:r><w:t>Profil ogólnoakademicki - kompetencje społeczne</w:t></w:r><w:bookmarkEnd w:id="4"/></w:p><w:p><w:pPr><w:keepNext w:val="1"/><w:spacing w:after="10"/></w:pPr><w:r><w:rPr><w:b/><w:bCs/></w:rPr><w:t xml:space="preserve">Efekt GK.NMS315_K1: </w:t></w:r></w:p><w:p><w:pPr/><w:r><w:rPr/><w:t xml:space="preserve">potrafi nawiązać kontakt i współpracować ze specjalistami z zakresu budownictwa i inżynierii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K_K06</w:t></w:r></w:p><w:p><w:pPr><w:spacing w:before="20" w:after="190"/></w:pPr><w:r><w:rPr><w:b/><w:bCs/></w:rPr><w:t xml:space="preserve">Powiązane efekty obszarowe: </w:t></w:r><w:r><w:rPr/><w:t xml:space="preserve">T2A_K02, T2A_K02</w:t></w:r></w:p><w:p><w:pPr><w:keepNext w:val="1"/><w:spacing w:after="10"/></w:pPr><w:r><w:rPr><w:b/><w:bCs/></w:rPr><w:t xml:space="preserve">Efekt GK.NMS315_K2: </w:t></w:r></w:p><w:p><w:pPr/><w:r><w:rPr/><w:t xml:space="preserve">ma świadomość odpowiedzialności za poprawność dokonywanych przezeń analiz dokładności i niezawodności sieci i konstrukcji pomiarowych </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w:t></w:r></w:p><w:p><w:pPr><w:spacing w:before="20" w:after="190"/></w:pPr><w:r><w:rPr><w:b/><w:bCs/></w:rPr><w:t xml:space="preserve">Powiązane efekty obszarowe: </w:t></w:r><w:r><w:rPr/><w:t xml:space="preserve">T2A_K02, T2A_K05</w:t></w:r></w:p><w:p><w:pPr><w:keepNext w:val="1"/><w:spacing w:after="10"/></w:pPr><w:r><w:rPr><w:b/><w:bCs/></w:rPr><w:t xml:space="preserve">Efekt GK.NMS315_K3: </w:t></w:r></w:p><w:p><w:pPr/><w:r><w:rPr/><w:t xml:space="preserve">ma świadomość co do zakresu i wagi  współodpowiedzialności z tytułu swego udziału w budowie obiektu bądź też udziału w badaniu zachowania się obiektu w fazie jego eksploatacji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 K_K06</w:t></w:r></w:p><w:p><w:pPr><w:spacing w:before="20" w:after="190"/></w:pPr><w:r><w:rPr><w:b/><w:bCs/></w:rPr><w:t xml:space="preserve">Powiązane efekty obszarowe: </w:t></w:r><w:r><w:rPr/><w:t xml:space="preserve">T2A_K02, T2A_K05, T2A_K02</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2026-09-08T01:46:22+02:00</dcterms:created>
  <dcterms:modified xsi:type="dcterms:W3CDTF">2026-09-08T01:46:22+02:00</dcterms:modified>
</cp:coreProperties>
</file>

<file path=docProps/custom.xml><?xml version="1.0" encoding="utf-8"?>
<Properties xmlns="http://schemas.openxmlformats.org/officeDocument/2006/custom-properties" xmlns:vt="http://schemas.openxmlformats.org/officeDocument/2006/docPropsVTypes"/>
</file>