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Potrafi nazywać i rozróżniać stanowiska.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Wykorzystuje zdobytą wiedzą teoretyczną do jaśniejszego i bardziej uporządkowanego postępowania w praktyce.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Samodzielnie ocenia wartość poznawczą różnych stylów myślenia.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pozyskiwać informacje z różnych źródeł, dokonać interpretacji,
krytycznie oceniać.</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Inicjuje i prowadzi dyskusję na tematy związane z funkcjami i strukturą wypowiedzi.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K_04: </w:t>
      </w:r>
    </w:p>
    <w:p>
      <w:pPr/>
      <w:r>
        <w:rPr/>
        <w:t xml:space="preserve">Posiada umiejętność określania priorytetów służących realizacji celów poznawczych.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K_05: </w:t>
      </w:r>
    </w:p>
    <w:p>
      <w:pPr/>
      <w:r>
        <w:rPr/>
        <w:t xml:space="preserve">Doktorant rozumie i odczuwa potrzebę ciągłego dokształcania się. Potrafi myśleć i działać w sposób niezależny.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2026-08-25T01:14:42+02:00</dcterms:created>
  <dcterms:modified xsi:type="dcterms:W3CDTF">2026-08-25T01:14:42+02:00</dcterms:modified>
</cp:coreProperties>
</file>

<file path=docProps/custom.xml><?xml version="1.0" encoding="utf-8"?>
<Properties xmlns="http://schemas.openxmlformats.org/officeDocument/2006/custom-properties" xmlns:vt="http://schemas.openxmlformats.org/officeDocument/2006/docPropsVTypes"/>
</file>