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Rojek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ETCS: 
15h wykład + 15h ćwiczenia + 3h konsultacje grupowe + 2h konsultacje indywidualne + 3h x 7 przygotowanie do ćwiczeń + 7h wykonanie projektowej pracy zaliczeniowej + 2h opracowanie prezentacji pracy zaliczeniowej + 10h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ćwiczenia + 3h konsultacje grupowe + 2h konsultacje indywidualne = 35h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ETCS: 
15h ćwiczenia + 3h konsultacje grupowe + 2h konsultacje indywidualne + 3h x 7 przygotowanie do ćwiczeń + 12h wykonanie projektowej pracy zaliczeniowej + 2h opracowanie prezentacji pracy zaliczeniowej + 10h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klasyfikacji, identyfikacji i oceny zasobów, zarządzania nimi oraz monitorowania pod kątem  konkurencyjności, przy uwzględnieniu  uwarunkowań funkcjonowania przedsiębiorstwa.
Nauczenie wykorzystywania posiadanej wiedzy do rozwiązywania złożonych i nietypowych problemów w warunkach niepewności i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 1-2: Podejście zasobowe w zarządzaniu strategicznym. Istota i klasyfikacja zasobów przedsiębiorstwa. 
2.	W 3-4: Zarządzanie zasobami materialnymi i niematerialnymi. 
3.	W 5-6: Zarządzanie zasobami ludzkimi. 
4.	W 7-8: Budowanie kluczowych kompetencji przedsiębiorstwa. Rola zasobów w kształtowaniu strategii rozwojowych przedsiębiorstwa. Zasoby przedsiębiorstwa a jego konkurencyjność. 
5.	W 9-10: Zasoby przedsiębiorstwa jako element konstytuujący model biznesu. Transformacja zasobów w procesie tworzenia wartości.
B. Ćwiczenia: 
1.	C 1-2: Przedsiębiorstwo jako podmiot zarządzania zasobami. 
2.	C 3-4: Klasyfikacja i struktura zasobów przedsiębiorstwa. 
3.	C 5-6: Zarządzanie zasobami materialnymi w przedsiębiorstwie.
4.	C 7-8: Zarządzanie zasobami niematerialnymi w przedsiębiorstwie. Zasoby relacyjne a społeczna odpowiedzialność biznesu.
5.	C 9-10:  Zarządzanie zasobami ludzkimi w przedsiębiorstwie. Współczesne trendy, analiza i ocena przypadków.
6.	C 11-12: Zasoby a strategia rozwoju firmy. Zasoby strategiczne. Ocena pozycji konkurencyjnej  firmy w aspekcie zasobów.   
7.	C 13-14: Model biznesu a struktura zasobów. Zasoby istotne z punktu widzenia przechwytywania wartości dla klienta.
8.	C 15: Strategia rozwoju zasobów ludzkich wybranego przedsiębiorstwa – prezentacje projektowych prac zespołowych.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	Ocena formatywna: oceniany jest  udział w debacie na zajęciach, prowadzonych w formie interaktywnej.
2.	Ocena sumatywna: średnia ocen cząstkowych za aktywność na zajęciach i wyniku egzaminu. Ocena łączna w zakresie 2-5; do zaliczenia wymagane jest uzyskanie co najmniej oceny 3.
B.	Ćwiczenia: 
1.	Ocena formatywna: oceniana jest poprawność wykonania poszczególnych ćwiczeń tematycznych w ramach pracy indywidualnej lub  zespołowej (rozwiązywania zadań i problemów, oceny studiów przypadków, prezentacji wyników i ocen) oraz wykonania i prezentacji projektowej pracy zaliczeniowej. 
2.	Ocena sumatywna: oceniane są: zaliczenie wszystkich ćwiczeń tematycznych i terminowość ich wykonania oraz zaliczenie projektowej pracy zaliczeniowej. Ocena łączna w zakresie 2-5; do zaliczenia wymagane jest uzyskanie co najmniej oceny 3.
C.	Końcowa ocena z przedmiotu: 
Przedmiot uznaje się  za zaliczony, jeżeli ocena zarówno z ćwiczeń, jak i z wykładu jest nie niższa niż 3. Ocena z przedmiotu jest obliczana zgodnie z formułą: 0,5 x ocena z  wykładu + 0,5 x ocena z ćwiczeń. Ocena łączna w zakresie 2- 5; do zaliczenia przedmiotu wymagane jest uzyskanie co najmniej oceny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PWE.
2.	Mroziewski, M., 2008. Kapitał intelektualny współczesnego przedsiębiorstwa. Koncepcje, metody wartościowania i warunki jego rozwoju. Warszawa: Difin.
3.	Stańczyk-Hugiet, E.I., 2013. Dynamika strategiczna w ujęciu ewolucyjnym. Wrocław: Wydawnictwo UE we Wrocławiu.
Uzupełniająca:
1.	Floyd, S.W. i in., 2011. Zarządzanie strategiczne. Podejście zasobowe. Warszawa: Wolters Kluwer.
2.	 Gierszewska, G. i in., 2013. Zarządzanie strategiczne dla inżynierów. Warszawa: PWE. 
3.	Jashapara, A., 2014. Zarządzanie wiedzą. Warszawa: PWE.
4.	Matejun, M. i Motyka, A., 2016. Zasobowe zdolności dynamiczne w  zarządzaniu firm sektora MSP. Łódź: Wydawnictwo Politechniki Łódzkiej.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po zaliczeniu przedmiotu 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I2_W12: </w:t>
      </w:r>
    </w:p>
    <w:p>
      <w:pPr/>
      <w:r>
        <w:rPr/>
        <w:t xml:space="preserve">po zaliczeniu przedmiotu student zna i rozumie zasady zarządzania zasobami niematerialnym, w tym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po zaliczeniu przedmiotu student potrafi projektować nowe rozwiązania z zakresu zarządzania,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rozwiązywania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I2_U20: </w:t>
      </w:r>
    </w:p>
    <w:p>
      <w:pPr/>
      <w:r>
        <w:rPr/>
        <w:t xml:space="preserve">po zaliczeniu przedmiotu student potrafi prowadzić debatę w zakresie nauk o zarządzaniu i problemów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ćwiczenia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po zaliczeniu przedmiotu 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po zaliczeniu przedmiotu 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2025-12-27T07:15:54+01:00</dcterms:created>
  <dcterms:modified xsi:type="dcterms:W3CDTF">2025-12-27T07:15:54+01:00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