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ćwiczenia + 10h przygotowanie do ćwiczeń + 5h analiza literatury + 10h przygotowanie do zaliczenia ćwiczeń i wykładu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1,1,7 ECTS: 
15h wykład +15h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ćwiczenia + 10h przygotowanie do ćwiczeń + 5h analiza literatury + 10h przygotowanie do zaliczenia ćwiczeń i wykładu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teorii gier oraz zasad posługiwania się nią w kontekście zastosowań w zarządzaniu, ekonomii i finansach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teorii gier. Klasyfikacja gier. 
2. Gracze, strategie czyste, wypłaty. Równowaga Nasha w strategiach czystych. 
3. Strategie mieszane. Strategie dominujące. Punkt równowagi. Twierdzenie Nasha. 
4. Gry o sumie zerowej. Strategie minimaksowe i maksiminowe.
 5. Gry kooperacyjne. Stabilność, sprawiedliwy podział zysków, wartość Shapley’a 
B. Ćwiczenia: 
Zagadnienia jak dla wykładów, rozwiązywanie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 
2. Ocena sumatywna : przeprowadzenie testu, ocena z testu w zakresie 2-5;
B. Ćwiczenia: 
1. Ocena formatywna: ocena poprawności ćwiczeń wykonanych przez studentów podczas kolejnych zajęć, ocena zadań domowych 
2. Ocena sumatywna: ocena ćwiczeń wykonywanych w trakcie zajęć w skali punktowej i zadań domowych , kolokwium oceniane w skali punktowej. 
E. Końcowa ocena z przedmiotu: Przedmiot uznaje się za zaliczony jeśli zarówno ocena z kolokwium końcowego z wykładu jak i z ocena z części ćwiczeniowej &gt;=3. Ocena z przedmiotu obliczana jest zgodnie z formułą: 0,5 * ocena z ćwiczeń + 0,5* ocena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Malawski, M., Wieczorek A., Sosnowska H., 2011. Konkurencja i kooperacja. Teoria gier w ekonomii i naukach społecznych, Warszawa: Wydawnictwo Naukowe PWN. 
Uzupełniająca: 
1. Straffin Ph. D., 2006. Teoria gier. Warszawa: Wydawnictwo Naukowe Scholar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B2_W04: </w:t>
      </w:r>
    </w:p>
    <w:p>
      <w:pPr/>
      <w:r>
        <w:rPr/>
        <w:t xml:space="preserve">Absolwent zna i rozumie w pogłębionym stopniu meto-dy teorii gier wspomagające wypracowanie, ocenę i podejmowanie decyzji w procesach zarządzania organizacjami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ćwiczenia (rozwiązywanie zadań, prezentacja rozwiązań zadań domowych)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dotyczących teorii gier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B2_K04: </w:t>
      </w:r>
    </w:p>
    <w:p>
      <w:pPr/>
      <w:r>
        <w:rPr/>
        <w:t xml:space="preserve">Absolwent jest gotów do myślenia i działania w sposób przedsiębiorczy i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 pisemne, ćwiczenia (rozwiązywanie zadań, zespołowe studia przypadków)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2026-07-27T06:30:54+02:00</dcterms:created>
  <dcterms:modified xsi:type="dcterms:W3CDTF">2026-07-27T06:30:54+02:00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