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 2</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GP.SIK619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zajęciach projektowych - 45 godzin 
b) konsultacje związane z realizacją projektu - 25 godzin
2. Praca własna studenta –  70 godzin, w tym: 
a) przygotowanie do zajęć projektowych - 20 godzin
b) zapoznanie się ze wskazaną literaturą - 5 godzin
c) przygotowanie projektu urbanistycznego danego terenu (praca własna) - 45 godzin
Łączny nakład pracy studenta wynosi 140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70, w tym:
a) obecność na zajęciach projektowych - 45 godzin 
b) konsultacje związane z realizacją projektu - 25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- 70 godzin, w tym: 
a) obecność na zajęciach projektowych - 45 godzin 
b) konsultacje związane z realizacją projektu - 25 godzin
c) przygotowanie do zajęć projektowych - 25 godzin
d) przygotowanie projektu urbanistycznego danego terenu (praca własna) - 45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1 w semestrze V.</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danego terenu - działki budowlanej w dużym mieście, częściowo zabudowanej (funkcja mieszkaniowo - usługowa) i wykonanie w następnej kolejności rysunku planu szczegółowego zagospodarowania przestrzennego. Celem przedmiotu jest również nabycie praktycznych umiejętności wykonania analizy urbanistycznej określającej zasady dobrego sąsiedztwa dla konkretnego terenu inwestycji, uwzględniając ochronę dziedzictwa kulturowego i kreując ład przestrzenny.</w:t>
      </w:r>
    </w:p>
    <w:p>
      <w:pPr>
        <w:keepNext w:val="1"/>
        <w:spacing w:after="10"/>
      </w:pPr>
      <w:r>
        <w:rPr>
          <w:b/>
          <w:bCs/>
        </w:rPr>
        <w:t xml:space="preserve">Treści kształcenia: </w:t>
      </w:r>
    </w:p>
    <w:p>
      <w:pPr>
        <w:spacing w:before="20" w:after="190"/>
      </w:pPr>
      <w:r>
        <w:rPr/>
        <w:t xml:space="preserve">Zadaniem merytorycznym przedmiotu jest opracowanie koncepcji projektowej dla terenu inwestycji (zabudowa mieszkaniowa wraz z usługami ponadpodstawowymi) w postaci rysunku, zgodnie z warunkami zabudowy oraz warunkami technicznymi jakim powinny odpowiadać budynki i ich usytuowanie. Koncepcja wykonana jest na mapie sytuacyjno-wysokościowej, w skali 1:500, o powierzchni ok. 10 hektarów. Teren projektu umiejscowiony jest w strefie centralnej miasta "historycznego" i obejmuje nowe zagospodarowanie rynku wraz z kwartałami zabudowy, zlokalizowanej na działkach porolnych. Na podstawie sporządzonej inwentaryzacji urbanistycznej, zgodnie z wymogami prawa, wymagane jest rozpoznanie i analiza danego ternu tak, aby nowa inwestycja odpowiadała danemu kontekstowi architektoniczno – urbanistycznemu. Studenci uczą się określania prawnych uwarunkowań zabudowy terenu planowanej inwestycji, w zakresie funkcji, gabarytów i układu zabudowy w granicach obszaru analizy. Zadaniem jest też policzenie chłonności danego terenu i obliczenie parametrów i wskaźników określających inwestycję, na podstawie schematyczne opracowanych rzutów kondygnacji i wizualizacji aksonometrycznej lub perspektywicznej planowanej zabudowy. Projekt ma uwzględniać ochronę wartości kulturowych i zmian klimatycznych. W trakcie zajęć poruszana jest również problematyka projektowania uniwersalnego – kształtowania środowiska zbudowanego dostosowanego do potrzeb i dostępnego dla jak najszerszej rzeszy odbiorców ze szczególnym uwzględnieniem osób niepełnosprawnych. Omówione są kryteria projektowania uniwersalnego dla miejskich przestrzeni otwartych i dla budynków – dostępne miasto i dostępny budynek.</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24. Szołtysek J., Brdulak H., Kauf S., Miasta dla pieszych: Idea czy rzeczywistość, wyd. Texter, Warszawa 2016
25.	Szmidt B.: Ład przestrzeni, Państwowy Instytut Wydawniczy, Warszawa 1981. 
26.	Wantuch-Matla D., Przestrzeń publiczna 2.0: Miasto u progu XXI wieku, Księży Młyn Dom  Wydawniczy, Łódź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GP.SIK619_W1: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 K_W15_UR, K_W16</w:t>
      </w:r>
    </w:p>
    <w:p>
      <w:pPr>
        <w:spacing w:before="20" w:after="190"/>
      </w:pPr>
      <w:r>
        <w:rPr>
          <w:b/>
          <w:bCs/>
        </w:rPr>
        <w:t xml:space="preserve">Powiązane efekty obszarowe: </w:t>
      </w:r>
      <w:r>
        <w:rPr/>
        <w:t xml:space="preserve">S1A_W07, T1A_W07, T1A_W03, T1A_W07</w:t>
      </w:r>
    </w:p>
    <w:p>
      <w:pPr>
        <w:keepNext w:val="1"/>
        <w:spacing w:after="10"/>
      </w:pPr>
      <w:r>
        <w:rPr>
          <w:b/>
          <w:bCs/>
        </w:rPr>
        <w:t xml:space="preserve">Efekt GP.SIK619_W2: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K_W19_SR, K_W19_UR</w:t>
      </w:r>
    </w:p>
    <w:p>
      <w:pPr>
        <w:spacing w:before="20" w:after="190"/>
      </w:pPr>
      <w:r>
        <w:rPr>
          <w:b/>
          <w:bCs/>
        </w:rPr>
        <w:t xml:space="preserve">Powiązane efekty obszarowe: </w:t>
      </w:r>
      <w:r>
        <w:rPr/>
        <w:t xml:space="preserve">T1A_W07, T1A_W07, T1A_W03, T1A_W04, T1A_W03, T1A_W04</w:t>
      </w:r>
    </w:p>
    <w:p>
      <w:pPr>
        <w:keepNext w:val="1"/>
        <w:spacing w:after="10"/>
      </w:pPr>
      <w:r>
        <w:rPr>
          <w:b/>
          <w:bCs/>
        </w:rPr>
        <w:t xml:space="preserve">Efekt GP.SIK619_W3: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K_W20, K_W21</w:t>
      </w:r>
    </w:p>
    <w:p>
      <w:pPr>
        <w:spacing w:before="20" w:after="190"/>
      </w:pPr>
      <w:r>
        <w:rPr>
          <w:b/>
          <w:bCs/>
        </w:rPr>
        <w:t xml:space="preserve">Powiązane efekty obszarowe: </w:t>
      </w:r>
      <w:r>
        <w:rPr/>
        <w:t xml:space="preserve">T1A_W07, T1A_W07, T1A_W07, T1A_W09</w:t>
      </w:r>
    </w:p>
    <w:p>
      <w:pPr>
        <w:pStyle w:val="Heading3"/>
      </w:pPr>
      <w:bookmarkStart w:id="3" w:name="_Toc3"/>
      <w:r>
        <w:t>Profil ogólnoakademicki - umiejętności</w:t>
      </w:r>
      <w:bookmarkEnd w:id="3"/>
    </w:p>
    <w:p>
      <w:pPr>
        <w:keepNext w:val="1"/>
        <w:spacing w:after="10"/>
      </w:pPr>
      <w:r>
        <w:rPr>
          <w:b/>
          <w:bCs/>
        </w:rPr>
        <w:t xml:space="preserve">Efekt GP.SIK619_U1: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GP.SIK619_U2: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GP.SIK619_U3: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 K_U08, K_U13, K_U14, K_U16, K_U18_UR, K_U19_UR</w:t>
      </w:r>
    </w:p>
    <w:p>
      <w:pPr>
        <w:spacing w:before="20" w:after="190"/>
      </w:pPr>
      <w:r>
        <w:rPr>
          <w:b/>
          <w:bCs/>
        </w:rPr>
        <w:t xml:space="preserve">Powiązane efekty obszarowe: </w:t>
      </w:r>
      <w:r>
        <w:rPr/>
        <w:t xml:space="preserve">T1A_U03, S1A_U02, S1A_U03, S1A_U08, P1A_U01, S1A_U05, T1A_U09, T1A_U13, T1A_U15, T1A_U07, T1A_U16, T1A_U13, T1A_U14, T1A_U16, T1A_U16</w:t>
      </w:r>
    </w:p>
    <w:p>
      <w:pPr>
        <w:pStyle w:val="Heading3"/>
      </w:pPr>
      <w:bookmarkStart w:id="4" w:name="_Toc4"/>
      <w:r>
        <w:t>Profil ogólnoakademicki - kompetencje społeczne</w:t>
      </w:r>
      <w:bookmarkEnd w:id="4"/>
    </w:p>
    <w:p>
      <w:pPr>
        <w:keepNext w:val="1"/>
        <w:spacing w:after="10"/>
      </w:pPr>
      <w:r>
        <w:rPr>
          <w:b/>
          <w:bCs/>
        </w:rPr>
        <w:t xml:space="preserve">Efekt GP.SIK619_K1: </w:t>
      </w:r>
    </w:p>
    <w:p>
      <w:pPr/>
      <w:r>
        <w:rPr/>
        <w:t xml:space="preserve">rozumie potrzebę i zna możliwości dalszego dokształcania się w celu podnoszenia kwalifikacji zawodowych z zakresu urbanistyka</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GP.SIK619_K2: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GP.SIK619_K3: </w:t>
      </w:r>
    </w:p>
    <w:p>
      <w:pPr/>
      <w:r>
        <w:rPr/>
        <w:t xml:space="preserve">świadomie podejmuje decyzje projektowe uwzględniając kontekst społeczny, zdając sobie sprawę ze skutków podejmowanych decyzji</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2026-04-16T02:44:21+02:00</dcterms:created>
  <dcterms:modified xsi:type="dcterms:W3CDTF">2026-04-16T02:44:21+02:00</dcterms:modified>
</cp:coreProperties>
</file>

<file path=docProps/custom.xml><?xml version="1.0" encoding="utf-8"?>
<Properties xmlns="http://schemas.openxmlformats.org/officeDocument/2006/custom-properties" xmlns:vt="http://schemas.openxmlformats.org/officeDocument/2006/docPropsVTypes"/>
</file>