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Kwacz,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MWB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- 30 godz. ;
b) konsultacje - 2 godz. ;
2) Praca własna studenta 24 godziny:
a) przygotowanie do zaliczenia - 16 godz. ;
b) studia literaturowe- 8 godz. ;
Suma 56 (2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wykład - 30 godz. ;
b) konsultacje - 2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podstawowych pojęć z zakresu mechaniki i biomechaniki inżynierskiej. Znajomość języka angielskiego na poziomie umożliwiającym czytanie i rozumienie treści artykułów naukowych.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samodzielnej lub zespołowej analizy, modelowania i symulacji wybranych zjawisk biomechanicznych. Przygotowanie do opracowania i zredagowania tekstu publikacji naukowej w formie artykułu oraz prezentacji ustnej.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analizy statycznej, kinematycznej i dynamicznej w biomechanice.
2. Modelowanie i symulacja biomechaniki mięśnia i układu mięśniowo-szkieletowego człowieka.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Opracowanie pisemne i prezentacja artykułu naukowego: ocena cząstkowa #1 w skali 2,0 - 5,0.
2. Dwa kolokwia zaliczające: ocena cząstkowa #2 średnia arytmetyczna z obu kolokwiów wystawiona w skali 2,0 - 5,0.
Do zaliczenia przedmiotu wymagane jest uzyskanie obu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Bober T.: Biomechanika układu ruchu człowieka, 2006
2. Kooij H. et al.: Human Motion Control
3. Kundson D.: Fundamentals of Biomechanics
4. Medved V.: Measurement of Human Locomotion
5. Journal of Biomechanics, Elsevier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MWB_2st_W01: </w:t>
      </w:r>
    </w:p>
    <w:p>
      <w:pPr/>
      <w:r>
        <w:rPr/>
        <w:t xml:space="preserve">Potrafi zaplanować eksperyment w celu pozyskania danych wejściowych do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MWB_2st_W02: </w:t>
      </w:r>
    </w:p>
    <w:p>
      <w:pPr/>
      <w:r>
        <w:rPr/>
        <w:t xml:space="preserve">Zna i rozumie algorytmy współczesnych narzędzi symulacyjnych wspomagających modelowanie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MWB_2st_W03: </w:t>
      </w:r>
    </w:p>
    <w:p>
      <w:pPr/>
      <w:r>
        <w:rPr/>
        <w:t xml:space="preserve">Posiada szczegółową wiedzę w zakresie biomechaniki układu ruchu człowieka, w szczególności generowania siły mięśniowej oraz analizy biomechanicznej w układach statycznie wyznaczalnych i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MWB_2st_U01: </w:t>
      </w:r>
    </w:p>
    <w:p>
      <w:pPr/>
      <w:r>
        <w:rPr/>
        <w:t xml:space="preserve">Potrafi korzystać z publikacji naukowych w celu analizowania obecnego stanu wiedzy w zakresie modelowania biomechaniki układu mięśniowo-szkieletowego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MWB_2st_U02: </w:t>
      </w:r>
    </w:p>
    <w:p>
      <w:pPr/>
      <w:r>
        <w:rPr/>
        <w:t xml:space="preserve">Potrafi zaprezentować tematykę wybranych publikacji naukowych i zaproponować kierunki dalszych badań w dziedzinie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MWB_2st_U03: </w:t>
      </w:r>
    </w:p>
    <w:p>
      <w:pPr/>
      <w:r>
        <w:rPr/>
        <w:t xml:space="preserve">Umie samodzielnie zdobywać nowe umiejętności w zakresie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keepNext w:val="1"/>
        <w:spacing w:after="10"/>
      </w:pPr>
      <w:r>
        <w:rPr>
          <w:b/>
          <w:bCs/>
        </w:rPr>
        <w:t xml:space="preserve">Charakterystyka MWB_2st_U04: </w:t>
      </w:r>
    </w:p>
    <w:p>
      <w:pPr/>
      <w:r>
        <w:rPr/>
        <w:t xml:space="preserve">Potrafi zbudować model i przeprowadzić symulację zdefiniowanego funkcjonowania układu mięśniowo-szkieletowego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MWB_2st_K01: </w:t>
      </w:r>
    </w:p>
    <w:p>
      <w:pPr/>
      <w:r>
        <w:rPr/>
        <w:t xml:space="preserve">Potrafi współpracować w dwu-lub trzyosobowym zespole w celu przygotowania opracowania pisemnego i prezentacji na temat aktualnego stanu wiedzy w zakresie wybranej problematyki modelowania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MWB_2st_K02: </w:t>
      </w:r>
    </w:p>
    <w:p>
      <w:pPr/>
      <w:r>
        <w:rPr/>
        <w:t xml:space="preserve">Ma świadomość celowości prowadzenia symulacji biomechaniki układu mięśniowo-szkieletowego człowieka i konieczności interdyscyplinarnej współpracy inżynier-lekarz w procesie diagnostyki i leczenia układu ruchu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2026-07-02T14:43:55+02:00</dcterms:created>
  <dcterms:modified xsi:type="dcterms:W3CDTF">2026-07-02T14:43:55+02:00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