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rzeczywistości wirtualnej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Projekt:15h
b) Konsultacje: 2h
2) Liczba godzin pracy własnej studenta (20h): 
a) Przygotowanie na zajęcia: 2h
b) Praca nad projektem w domu 15h
c) Przygotowanie do kolokwiów 3h
Razem: 52h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Projekt:15h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Projekt:15h
b) Praca nad projektem w domu 15h
Razem: 30h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podstawowa znajomość zagadnień grafiki komputerowej oraz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systemów VR oraz ich głównych komponentów: urządzeń wejściowych, wyjściowych i silnika. Poznanie nowoczesnych interfejsów człowiek-komputer. Zdobycie podstawowej umiejętności programowania logiki interaktywnych scen trójwymiarowych w komercyjnym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Krótka historia rzeczywistości wirtualnej (VR – virtual reality). Omówienie budowy systemów VR oraz głównych komponentów składowych: urządzenia wejściowe (interfejs haptyczny, rozpoznawanie twarzy, rozpoznawanie gestów, sterowanie głosowe, śledzenie wzroku), urządzenia wyjściowe (wyświetlacze stereoskopowe osobiste i wieloosobowe, sprzężenie zwrotne siłowe, stymulacja zmysłu dotyku, symulacja ruchu całego ciała), silnik wizualizacyjny. Opis zagadnień związanych z urządzeniami haptycznymi. Proces budowy światów VR. Treści wykładowe mogą być dostosowane do zainteresowań studentów.
Projekt:
W części praktycznej studenci wykonują indywidualne projekty. W ramach projektu należy stworzyć w środowisku programistycznym (do wyboru studenta) scenę interaktywną realizującą funkcjonalność wybraną przez studenta i zaakceptowaną przez prowadzącego. Przykładowymi tematami mogą być: opracowanie interaktywnej kompozycji wyjaśniającej przedmiot pracy inżynierskiej/magisterskiej, gra komputerowa 3D, prezentacja obiektu związanego z hobby studenta…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testy sprawdzające (2 x 5,0 pkt.)
Projekt - zaliczenie na podstawie wyników realizacji projektu indywidualnego (10,0 pkt.)
Ocena końcowa z przedmiotu wynika z liczby punktów uzyskanych łącznie z wykładu oraz projektu:
•	ponad 50 % do 60 %  - ocena 3,0 
•	ponad 60 % do 70 %  - ocena 3,5 
•	ponad 70 % do 80 %  - ocena 4,0 
•	ponad 80 % do 90 %  - ocena 4,5 
•	ponad 90 %                 - ocena 5,0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Warwick, K., Gray, J. and Roberts, D. eds. (1993). Virtual Reality in Engineering, Peter Peregrinus. London.
Stanney, K. M. ed. (2002). Handbook of Virtual Environments: Design, Implementation, and Applications. Lawrence Erlbaum Associates, Inc., Mahwah, New Jersey
Rheingold, H. (1992). Virtual Reality, Simon &amp; Schuster, New York, N.Y.
Burdea, G. and P. Coffet (2003). Virtual Reality Technology, Second Edition. Wiley-IEEE Press. N.Y.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TRW_2st_W01: </w:t>
      </w:r>
    </w:p>
    <w:p>
      <w:pPr/>
      <w:r>
        <w:rPr/>
        <w:t xml:space="preserve">Znajomość budowy systemów VR oraz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TRW_2st_W02: </w:t>
      </w:r>
    </w:p>
    <w:p>
      <w:pPr/>
      <w:r>
        <w:rPr/>
        <w:t xml:space="preserve">Wiedza o metodach tworzenia interaktywnych trójwymiarowych scen wirtualnych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TRW_2st_U01: </w:t>
      </w:r>
    </w:p>
    <w:p>
      <w:pPr/>
      <w:r>
        <w:rPr/>
        <w:t xml:space="preserve">Umie wykonać interaktywną trójwymiarową scenę wirtualną VR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TRW_2st_U02: </w:t>
      </w:r>
    </w:p>
    <w:p>
      <w:pPr/>
      <w:r>
        <w:rPr/>
        <w:t xml:space="preserve">Umie zoptymalizować interaktywną trójwymiarową scenę wirtualną VR pod kątem szybkości wykonywania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TRW_2st_K01: </w:t>
      </w:r>
    </w:p>
    <w:p>
      <w:pPr/>
      <w:r>
        <w:rPr/>
        <w:t xml:space="preserve">Ma świadomość pozyskanej wiedzy i umiejętności oraz konieczność stałego ich poszerzania.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treści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2026-04-21T01:48:56+02:00</dcterms:created>
  <dcterms:modified xsi:type="dcterms:W3CDTF">2026-04-21T01:48:56+02:00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