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godz. wykładu 18 godz., zapoznanie się ze wskazana literaturą 16 godz., przygotowanie do zaliczenia 23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godz. wykładu 18 godz., udział w egzaminie 2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zaznajomienie studentów i usystematyzowanie podstawowej wiedzy z zakresu środków transportu. Wykładem objęte są lądowe środki transportu bliskiego i dalekiego oraz środki transportu lotniczego i wodnego.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WKŁ, Warszawa 1992. St. Arczyński Mechanika ruchu samochodu. WNT, Warszawa 1994. 
5. Z. Romaniszyn, T. Wolfram Nowoczesny tabor szynowy. Wyd. Specjalne Instytutu Pojazdów Szynowych, Kraków 1997. 
6. J. Reimpell Podwozia samochodów Podstawy konstrukcji. Wyd. KiŁ, Warszawa 1997.
7.  A. Zieliński Konstrukcja nadwozi samochodów osobowych i pochodnych. Wyd. KiŁ, Warszawa 1998. 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zasady działania, budowy wybranych podukładów oraz charakterystyk technicznych pojazdów kołowo-drogowych </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posiada podstawową wiedzę dotyczącą zasad działania oraz budowy wybranych podukładów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posiada podstawową wiedzę dotyczącą charakterystyk technicznych latających środków transp.</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w:t>
      </w:r>
    </w:p>
    <w:p>
      <w:pPr/>
      <w:r>
        <w:rPr/>
        <w:t xml:space="preserve">Potrafi rozpoznać i scharakteryzować środek transportu zgodnie z poznaną klasyfikacją oraz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W08: </w:t>
      </w:r>
    </w:p>
    <w:p>
      <w:pPr/>
      <w:r>
        <w:rPr/>
        <w:t xml:space="preserve">Potrafi rozpoznać podstawowe zespoły (rozłożyć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dotyczących: technicznych środków transportu.</w:t>
      </w:r>
    </w:p>
    <w:p>
      <w:pPr>
        <w:spacing w:before="60"/>
      </w:pPr>
      <w:r>
        <w:rPr/>
        <w:t xml:space="preserve">Weryfikacja: </w:t>
      </w:r>
    </w:p>
    <w:p>
      <w:pPr>
        <w:spacing w:before="20" w:after="190"/>
      </w:pPr>
      <w:r>
        <w:rPr/>
        <w:t xml:space="preserve">wykład – 2 zaliczenia w formie pisemnej</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P6U_U, 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2026-08-26T18:10:24+02:00</dcterms:created>
  <dcterms:modified xsi:type="dcterms:W3CDTF">2026-08-26T18:10:24+02:00</dcterms:modified>
</cp:coreProperties>
</file>

<file path=docProps/custom.xml><?xml version="1.0" encoding="utf-8"?>
<Properties xmlns="http://schemas.openxmlformats.org/officeDocument/2006/custom-properties" xmlns:vt="http://schemas.openxmlformats.org/officeDocument/2006/docPropsVTypes"/>
</file>