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chemicznego</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 oraz tematyki wykładanej na przedmiotach: Podstawy mechaniki płynów i Kinetyka procesowa.
Studenci mogą rejestrować obraz i dźwięk podczas zajęć bez prawa rozpowszechniana nagrań.</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wiedzy na temat relacji zachodzących między procesem i produktem.
2. Nabycie wiedzy i umiejętności przez studentów w zakresie projektowania produktu o ściśle określonych właściwościach.
3. Zapoznanie studentów z metodami intensyfikacji procesu w inżynierii produktu.
</w:t>
      </w:r>
    </w:p>
    <w:p>
      <w:pPr>
        <w:keepNext w:val="1"/>
        <w:spacing w:after="10"/>
      </w:pPr>
      <w:r>
        <w:rPr>
          <w:b/>
          <w:bCs/>
        </w:rPr>
        <w:t xml:space="preserve">Treści kształcenia: </w:t>
      </w:r>
    </w:p>
    <w:p>
      <w:pPr>
        <w:spacing w:before="20" w:after="190"/>
      </w:pPr>
      <w:r>
        <w:rPr/>
        <w:t xml:space="preserve">Wykład
1. Inżynieria produktu chemicznego: uwarunkowania ekonomiczne i techniczne, relacja do projektowania produktu. Relacja proces-produkt.
2. Wprowadzenie metod i przykłady zastosowania analizy odwrotnej.
3. Metody wytwarzania produktów o ściśle zdefiniowanych własnościach: projektowanie i inżynieria produktu.
4. Zastosowania metod specyficznych dla inżynierii produktu: CAPE, CAMD, metody zawarte w 3PE.
5. Uwarunkowania społeczne i środowiskowe.
Ćwiczenia projektowe
1. Produkty o zdefiniowanej mikrostrukturze i reologii oparte na mikro- i nanoemulsjach, mikro- i nanozawiesinach. Zastosowania mikro- i nanoemulsji i zawiesin.
2. Nowoczesne metody kontrolowania kształtu i rozmiarów kryształów.
</w:t>
      </w:r>
    </w:p>
    <w:p>
      <w:pPr>
        <w:keepNext w:val="1"/>
        <w:spacing w:after="10"/>
      </w:pPr>
      <w:r>
        <w:rPr>
          <w:b/>
          <w:bCs/>
        </w:rPr>
        <w:t xml:space="preserve">Metody oceny: </w:t>
      </w:r>
    </w:p>
    <w:p>
      <w:pPr>
        <w:spacing w:before="20" w:after="190"/>
      </w:pPr>
      <w:r>
        <w:rPr/>
        <w:t xml:space="preserve">1. sprawdzian pisemny
2. kolokwium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L. Cussler, G. D. Moggridge, Chemical Product Design, Cambridge Series in Chemical Engineering, Cambridge University Press, Cambridge, UK, 2011.
2. R. J. Stokes, D.F. Evans, Fundamentals of Interfacial Engineering, Wiley, New York, USA, 1997.
3. Handbook of Industrial Crystallization, Edited by Allan S.Myerson, Elsevier,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części w formie wykładu (15 godzin wykładu), na którym obecność nie jest obowiązkowa.
Weryfikacja osiągnięcia efektów uczenia się jest dokonywana na podstawie wyniku końcowego sprawdzianu, którego termin oraz termin poprawkowy są wyznaczane w sesji zimowej.
Na sprawdzianie studenci mogą posiadać jedynie klasyczne kalkulatory oraz wydruki materiałów dostarczone przez prowadzącego.
Ćwiczenia projektowe:
Ćwiczenia projektowe polegają na wydaniu i sprawdzeniu 2 projektów oraz zweryfikowaniu efektów uczenia się poprzez przeprowadzenie sprawdzianu po każdym projekcie.
Obecność na sprawdzianach jest obowiązkowa.
Na każdym sprawdzianie należy rozwiązać 2 zadania.
Każdy projekt oceniany jest od 0 do 10 punktów, w tym wykonanie projektu od zera do 4 punktów, a sprawdzian od zera do 6 punktów.
W przypadku niezaliczenia ćwiczeń projektowych w terminie normalnym przewidziane jest pisemne zaliczanie poprawkowe (4 zadania) na ostatnich zajęciach w semestrze.
Na sprawdzianach studenci mogą posiadać jedynie klasyczne kalkulatory oraz wydruki materiałów dostarczone przez prowadzącego.
Oceny projektu (możliwe 20 punktów, zaliczenie daje co najmniej 11) i sprawdzianu części wykładowej (10 punktów, zaliczenie daje co najmniej 6 punktów) składają się na ocenę końcową według następującej skali:
(17,0 – 18,0) 3,0
(19,0 – 21,0) 3,5
(22,0 - 24,0) 4,0
(25,0 – 27,0) 4,5
(28,0 – 30,0)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matematyki, fizyki i inżynierii chemicznej przydatną do zrozumienia zjawisk   i procesów towarzyszących wytwarzaniu produktów o określonych własnościach.</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K1_W01, 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wytwarzanie produktów o określonych własnościach w urządzeniach przemysłowych.</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Posiada umiejętność korzystania ze źródeł literaturowych oraz zasobów internetowych; potrafi je interpretować, a także wyciągać wnioski.</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U3: </w:t>
      </w:r>
    </w:p>
    <w:p>
      <w:pPr/>
      <w:r>
        <w:rPr/>
        <w:t xml:space="preserve">Ma umiejętności samokształcenia się.</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KS2: </w:t>
      </w:r>
    </w:p>
    <w:p>
      <w:pPr/>
      <w:r>
        <w:rPr/>
        <w:t xml:space="preserve">Potrafi myśleć i działać w sposób przedsiębiorczy.</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2026-02-10T01:58:12+01:00</dcterms:created>
  <dcterms:modified xsi:type="dcterms:W3CDTF">2026-02-10T01:58:12+01:00</dcterms:modified>
</cp:coreProperties>
</file>

<file path=docProps/custom.xml><?xml version="1.0" encoding="utf-8"?>
<Properties xmlns="http://schemas.openxmlformats.org/officeDocument/2006/custom-properties" xmlns:vt="http://schemas.openxmlformats.org/officeDocument/2006/docPropsVTypes"/>
</file>