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50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Przedmiot jest realizowany formie wykładu (30 godz.) i zajęć laboratoryjnych (20 godz.) z zastosowaniem łącznej oceny końcowej.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Wykład
1. Inżynieria biomedyczna – wprowadzenie.
2. Biomateriały .
3. Sztuczne narządy.
4. Odpowiedź organizmu na biomateriał.
5. Inżynieria tkankowa.
6. Obrazowanie medyczne.
Laboratorium
1. Konsultacje projektowe – opracowanie metodyki wytwarzania wybranego biomateriału o zadanych właściwościach.
2. Laboratorium – otrzymanie materiału oraz analiza jego właściwości fizykochemicznych.
3. Prezentacje otrzymanych wyników.
</w:t>
      </w:r>
    </w:p>
    <w:p>
      <w:pPr>
        <w:keepNext w:val="1"/>
        <w:spacing w:after="10"/>
      </w:pPr>
      <w:r>
        <w:rPr>
          <w:b/>
          <w:bCs/>
        </w:rPr>
        <w:t xml:space="preserve">Metody oceny: </w:t>
      </w:r>
    </w:p>
    <w:p>
      <w:pPr>
        <w:spacing w:before="20" w:after="190"/>
      </w:pPr>
      <w:r>
        <w:rPr/>
        <w:t xml:space="preserve">1. egzamin ustny
2. kolokwium
3. referat
4. sprawozdanie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13 wykładów po 2 godziny wykładowe bez wliczania czasu na kolokwia końcowe. Udział w wykładach jest nieobowiązkowy. Warunkiem zaliczenia części wykładowej przedmiotu jest zaliczenie egzaminu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jednego spotkania w formie konsultacji, dwóch ćwiczeń laboratoryjnych oraz spotkania końcowego. Ćwiczenia wykonywane są w podgrupach, zgodnie z harmonogramem ustalanym przez prowadzącego ćwiczenia. Harmonogram zajęć dostępny jest do pobrania na stronie www.biomedlab.pw.edu.pl, w dziale „Pliki do pobrania”. Udział we wszystkich czterech spotkaniach jest obowiązkowy. W przypadku zajęć zdalnych ćwiczenia będą prowadzone za pośrednictwem MS Teams.
Warunkiem dopuszczenia studenta do realizacji ćwiczeń laboratoryjnych jest wcześniejsze dostarczenie prowadzącemu (w formie i terminie ustalonym z prowadzącym) instrukcji do ćwiczeń. Do udziału w zajęciach laboratoryjnych nie jest wymagane zaliczenie części wykładowej. Warunkiem zaliczenia ćwiczeń laboratoryjnych jest: opracowanie zagadnień podanych w temacie projektu (weryfikacja przygotowania odbywa się na spotkaniu konsultacyjnym), przygotowanie instrukcji do ćwiczeń, poprawne wykonanie zaplanowanych doświadczeń oraz przygotowanie i wygłoszenie referatu końcowego prezentującego otrzymane wyniki.
Ocena końcowa jest średnią z trzech ocen cząstkowych: (1) przygotowanie do konsultacji i przygotowanie instrukcji do ćwiczeń, (2) wykonanie doświadczeń, (3) prezentacja wyników końcowych. W przypadku zajęć zdalnych podstawą do wystawienia oceny końcowej będzie przygotowania i wygłoszenie prezentacji końcowej (spotkanie online za pomocą MS Teams). Oceny pozytywne nie podlegają poprawie. 
Warunkiem zaliczenia przedmiotu jest uzyskanie pozytywnych ocen z części wykładowej i laboratoryjnej. Ocenę końcową z przedmiotu stanowi średnia ważona ocen uzyskanych z części wykładowej i laboratoryjnej, zgodnie ze skalą ocen &lt;3,0 – 2,0; 3,00-3,40 – 3,0; 3,41-3,80 – 3,5; 3,81-4,20 – 4,0; 4,21-4,60 – 4,5; 4,61-5,00 – 5,0,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 </w:t>
      </w:r>
    </w:p>
    <w:p>
      <w:pPr>
        <w:spacing w:before="60"/>
      </w:pPr>
      <w:r>
        <w:rPr/>
        <w:t xml:space="preserve">Weryfikacja: </w:t>
      </w:r>
    </w:p>
    <w:p>
      <w:pPr>
        <w:spacing w:before="20" w:after="190"/>
      </w:pPr>
      <w:r>
        <w:rPr/>
        <w:t xml:space="preserve">egzamin ustny, 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w:t>
      </w:r>
    </w:p>
    <w:p>
      <w:pPr>
        <w:spacing w:before="60"/>
      </w:pPr>
      <w:r>
        <w:rPr/>
        <w:t xml:space="preserve">Weryfikacja: </w:t>
      </w:r>
    </w:p>
    <w:p>
      <w:pPr>
        <w:spacing w:before="20" w:after="190"/>
      </w:pPr>
      <w:r>
        <w:rPr/>
        <w:t xml:space="preserve">egzamin ustny, referat, sprawozdanie, dyskusja, seminarum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2026-08-19T11:15:19+02:00</dcterms:created>
  <dcterms:modified xsi:type="dcterms:W3CDTF">2026-08-19T11:15:19+02:00</dcterms:modified>
</cp:coreProperties>
</file>

<file path=docProps/custom.xml><?xml version="1.0" encoding="utf-8"?>
<Properties xmlns="http://schemas.openxmlformats.org/officeDocument/2006/custom-properties" xmlns:vt="http://schemas.openxmlformats.org/officeDocument/2006/docPropsVTypes"/>
</file>