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 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[K1_U22]: </w:t>
      </w:r>
    </w:p>
    <w:p>
      <w:pPr/>
      <w:r>
        <w:rPr/>
        <w:t xml:space="preserve">Opanował w mowie i piśmie umiejętność porozumiewania się w języku obcym na poziomie B2
uznawanym za język komunikacji międzynarodowej.Potrafi pozyskiwać w języku obcym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[K1_K07]: </w:t>
      </w:r>
    </w:p>
    <w:p>
      <w:pPr/>
      <w:r>
        <w:rPr/>
        <w:t xml:space="preserve">Jest świadomy uznawania wiedzy w rozwiązywaniu problemów inżynierskich oraz konieczności
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[K1_K08]: </w:t>
      </w:r>
    </w:p>
    <w:p>
      <w:pPr/>
      <w:r>
        <w:rPr/>
        <w:t xml:space="preserve">Jest gotów do dbania o dorobek i tradycje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2026-03-23T19:29:38+01:00</dcterms:created>
  <dcterms:modified xsi:type="dcterms:W3CDTF">2026-03-23T19:29:38+01:00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