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Architektura i urbanistyka (IK, DS, MiBP)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Adam Dolot, dr inż. arch., Piotr Bujak dr inż. arch., Rafał Bujnowski mgr inż. arch.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1080-BU000-IZP-0354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Obliczanie punktów ECTS wykład 20; projekt 20; przygotowanie do zajęć projektowych 20; przygotowanie do kolokwium 15; 
RAZEM 75 godz.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Obliczanie punktów ECTS wykład 20; projekt 20; konsultacje 3;
RAZEM 43 godz. =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Obliczanie punktów ECTS  projekt 20; przygotowanie do zajęć projektowych 30; 
RAZEM 50 godz.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są wiadomości z budownictwa ogólnego i podstaw Inżynierii komunikacyjnej.  Niezbędna jest  umiejętność sporządzania szkiców i  rysunków architektoniczno-budowlanych.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prowadzonych zajęć jest humanizacja studiów technicznych; zapoznanie słuchaczy z rozwojem form architektonicznych, historią i problematyką budowy miast i, planowaniem przestrzennym w Europie i w Polsce oraz działaniem Ustawy o Planowaniu i Zagospodarowaniu Przestrzennym.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przedstawiają problemy projektowania urbanistycznego z elementami architektury mającymi wpływ na sposób percepcji przestrzeni. Zapoznają słuchaczy z podstawowymi pojęciami i definicjami architektury i urbanistyki. Przedstawiają rozwój budowy miast i form architektonicznych w historii cywilizacji ze specjalnym zwróceniem uwagi na urbanistykę w Polsce. Omawiane są zagadnienia związane ze sporządzaniem  planu miejscowego zagospodarowania przestrzennego. Prezentowana jest i analizowana architektura budowli inżynierskich.
Tematem ćwiczeń jest samodzielne opracowanie szkicowego projektu urbanistycznego zespołu mieszkaniowego w zabudowie wielo - i jedno –rodzinnej, z usługami podstawowymi w skali 1:500. Dodatkowo należy zaprojektować układ typowej kondygnacji budynku wielorodzinnego oraz przekrój poprzeczny  przez ten budynek. Korekty indywidualne.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 Wykłady zaliczane są jako sprawdzian pisemny przeprowadzany na ostatnim wykładzie w semestrze.
• Ćwiczenia są zaliczane (po zaliczeniu przeglądu projektu wyznaczonego w połowie semestru) po złożeniu projektu, wykonanego przez studenta w ciągu całego semestru, akceptowanego przez prowadzącego indywidualne korekty - ocena dokonywana będzie przez cały zespół dydaktyczny.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Buchner Monika i Andrzej, Laube Jan, Zarys projektowania i historii architektury, WSiPW 1991.
[2] Broniewski Tadeusz, Historia architektury dla wszystkich, Ossolineum 1980.
[3] Koch Wilfried, Style w architekturze, Świat Książki 1996.
[4] Neufert Ernst i Peter, Podręcznik projektowania architektoniczno-budowlanego, Arkady 1995.
[5] Pevsner Nikolaus, Historia architektury europejskiej, Arkady 1979.
[6] Ostrowski Wacław, Wprowadzenie do historii budowy miast, OWPW 1996.
[7] Rozporządzenie ministra infrastruktury z dnia 12 kwietnia 2002 r. w sprawie warunków technicznych jakim powinny odpowiadać budynki i ich usytuowanie, (Dz U Nr 75 z dnia 15 czerwca 2002 r.) z późniejszymi zmianami.
[8] Ustawa z dnia 27 marca 2003 r o planowaniu i zagospodarowaniu przestrzennym,  (Dz. U. Nr 80 z dnia 10 maja 2003 r.).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podstawową wiedzę na temat projektowania urbanistycznego i architektonicznego oraz zagadnień związanych z projektowaniem.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K1_W02, K1_W07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Ma podstawową wiedzę z zakresu historii urbanistyki, architektury i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Umiejętność twórczej analizy projektu architektonicznego i urbanistycznego w zakresie rozwiązań konstrukcyjnych, technologicznych, materiałowych i formalnych.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K1_U07, K1_U12, 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I.P6S_UU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Umiejętność czytania i interpretacji projektu architektonicznego w trakcie realizacji.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K1_U12, 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I.P6S_UU</w:t>
      </w:r>
    </w:p>
    <w:p>
      <w:pPr>
        <w:keepNext w:val="1"/>
        <w:spacing w:after="10"/>
      </w:pPr>
      <w:r>
        <w:rPr>
          <w:b/>
          <w:bCs/>
        </w:rPr>
        <w:t xml:space="preserve">Charakterystyka U3: </w:t>
      </w:r>
    </w:p>
    <w:p>
      <w:pPr/>
      <w:r>
        <w:rPr/>
        <w:t xml:space="preserve">Potrafi ocenić rodzaj i charakter istniejących konstrukcji budowlanych realizowanych w różnych okresach historycznych.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Ma zdolność kompetentnej współpracy z architektem w tracie procesu twórczego.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K1_K01, K1_K02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2025-04-04T23:52:56+02:00</dcterms:created>
  <dcterms:modified xsi:type="dcterms:W3CDTF">2025-04-04T23:52:56+02:00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