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1080-BUKBD-MSP-0900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K2_W16_KB</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K2_W13, K2_W14_KB, K2_W15_KB, K2_W17_MBP</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charakterystyki kierunkowe: </w:t>
      </w:r>
      <w:r>
        <w:rPr/>
        <w:t xml:space="preserve">K2_U15_KB, K2_U16_KB, K2_U17_KB, K2_U18_KB, K2_U19_KB, K2_U04</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charakterystyki kierunkowe: </w:t>
      </w:r>
      <w:r>
        <w:rPr/>
        <w:t xml:space="preserve">K2_U16_KB, K2_U17_KB, K2_U18_KB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U3: </w:t>
      </w:r>
    </w:p>
    <w:p>
      <w:pPr/>
      <w:r>
        <w:rPr/>
        <w:t xml:space="preserve">Potrafi samodzielnie pozyskiwać informacje i zdobywać wiedzę, korzystając z dostępnych źródeł informacji w tym źródeł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K2_U05, K2_U06, 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2026-07-29T17:56:16+02:00</dcterms:created>
  <dcterms:modified xsi:type="dcterms:W3CDTF">2026-07-29T17:56:16+02:00</dcterms:modified>
</cp:coreProperties>
</file>

<file path=docProps/custom.xml><?xml version="1.0" encoding="utf-8"?>
<Properties xmlns="http://schemas.openxmlformats.org/officeDocument/2006/custom-properties" xmlns:vt="http://schemas.openxmlformats.org/officeDocument/2006/docPropsVTypes"/>
</file>