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30 godz., udział w ćwiczeniach laboratoryjnych 45 godz., studiowanie literatury przedmiotu 38 godz., opracowanie wyników pomiarów laboratoryjnych i sprawozdań 18 godz., przygotowanie się do zaliczeń ćwiczeń laboratoryjnych 9 godz., przygotowanie się do egzaminu 30 godz., konsultacje 3 godz. (w tym konsultacje w zakresie ćwiczeń laboratoryjnych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3,0 pkt. ECTS (80 godz., w tym: praca na wykładach 30 godz., praca na ćwiczeniach laboratoryjnych 45 godz., konsultacje 3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45 godz., opracowanie wyników pomiarów laboratoryjnych i sprawozdań 18 godz., przygotowanie się do zaliczeń ćwiczeń laboratoryjnych 9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 </w:t>
      </w:r>
    </w:p>
    <w:p>
      <w:pPr>
        <w:keepNext w:val="1"/>
        <w:spacing w:after="10"/>
      </w:pPr>
      <w:r>
        <w:rPr>
          <w:b/>
          <w:bCs/>
        </w:rPr>
        <w:t xml:space="preserve">Metody oceny: </w:t>
      </w:r>
    </w:p>
    <w:p>
      <w:pPr>
        <w:spacing w:before="20" w:after="190"/>
      </w:pPr>
      <w:r>
        <w:rPr/>
        <w:t xml:space="preserve">Wykład:
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Zajęcia laboratoryjne: 
W części laboratoryjnej: sprawozdanie końcowe z danego ćwiczenia, zaliczenie pisemne lub ustne każdego ćwiczenia laboratoryjnego. Warunkiem minimalnym osiągnięcia efektu jest uzyskanie wskaźnika jakościowego oceny powyżej 50%. Wymagane jest uzyskanie pozytywnych ocen z każdego ćwiczenia laboratoryjnego. 
Ocena zintegrowana: 
Oceną zintegrowaną jest wartość średnia z dwóch ocen: oceny z egzaminu i średniej z ocen wymaganych ćwiczeń laboratoryjnych. 
Wymagane jest uzyskanie pozytywnych ocen z egzaminu i z każdego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(red.): Diagnostyka samochodowa. Laboratorium, Oficyna Wydawnicza Politechniki Warszawskiej, Warszawa 2015; ISBN: 978-83-7814-322-2. 5. 
2. 	Sitek K., Syta S.: Badania stanowiskowe i diagnostyka, WKŁ, Warszawa 2011. 
3. 	Trzeciak K., Diagnostyka samochodów osobowych, WKŁ, Warszawa 2010.
4. 	Bocheński C., Bogus St., Damm A., Lozia Z., Turek L., Badania kontrolne samochodów, WKŁ, Warszawa 2000. 
5. 	Rokosch U.: Układy oczyszczania spalin i pokładowe systemy diagnostyczne samochodów, WKŁ, Warszawa 2007.
Literatura uzupełniająca:
1. 	Merkisz J., Mazurek St.: Pokładowe systemy diagnostyczne pojazdów samochodowych, WKŁ, Warszawa 2002. 
2. 	Merkisz J., Pielecha I.: Alternatywne napędy pojazdów, Wydawnictwa Politechniki Poznańskiej, Poznań 2006. 
3. 	Gustof P.: Badania techniczne z diagnostyką pojazdów samochodowych, Wydawnictwa Politechniki Śląskiej, Gliwice 2013.
4. 	Günter H.: Diagnozowanie silników wysokoprężnych, WKŁ, Warszawa 2002.
5. 	Kasedorf J., Woisetschläger E.: Układy wtryskowe benzyny. Sprawdzanie i regulacja. Wyd. 2, WKŁ, Warszawa 2000. 
6. 	Niziński St. (red.). Diagnostyka samochodów osobowych i ciężarowych, Dom Wydawniczy Bellona,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 </w:t>
      </w:r>
    </w:p>
    <w:p>
      <w:pPr>
        <w:spacing w:before="60"/>
      </w:pPr>
      <w:r>
        <w:rPr/>
        <w:t xml:space="preserve">Weryfikacja: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 </w:t>
      </w:r>
    </w:p>
    <w:p>
      <w:pPr>
        <w:spacing w:before="60"/>
      </w:pPr>
      <w:r>
        <w:rPr/>
        <w:t xml:space="preserve">Weryfikacja: </w:t>
      </w:r>
    </w:p>
    <w:p>
      <w:pPr>
        <w:spacing w:before="20" w:after="190"/>
      </w:pPr>
      <w:r>
        <w:rPr/>
        <w:t xml:space="preserve">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 </w:t>
      </w:r>
    </w:p>
    <w:p>
      <w:pPr>
        <w:spacing w:before="60"/>
      </w:pPr>
      <w:r>
        <w:rPr/>
        <w:t xml:space="preserve">Weryfikacja: </w:t>
      </w:r>
    </w:p>
    <w:p>
      <w:pPr>
        <w:spacing w:before="20" w:after="190"/>
      </w:pPr>
      <w:r>
        <w:rPr/>
        <w:t xml:space="preserve">W części laboratoryjnej: sprawozdanie końcowe z danego ćwiczenia, zaliczenie pisemne lub ustne każdego oćwiczenia laboratoryjnego. Warunkiem minimalnym osiągnięcia efektu jest uzyskanie wskaźnika jakościowego oceny powyżej 50%. </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2026-08-07T16:13:58+02:00</dcterms:created>
  <dcterms:modified xsi:type="dcterms:W3CDTF">2026-08-07T16:13:58+02:00</dcterms:modified>
</cp:coreProperties>
</file>

<file path=docProps/custom.xml><?xml version="1.0" encoding="utf-8"?>
<Properties xmlns="http://schemas.openxmlformats.org/officeDocument/2006/custom-properties" xmlns:vt="http://schemas.openxmlformats.org/officeDocument/2006/docPropsVTypes"/>
</file>