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Cezary Obczyński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szeregów, rachunku różniczkowego i całkowego w elementarnych zagadnieniach technicznych.</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w zakresie własności ciągów liczbowych. Zna pojęcie zbieżności szeregu liczbowego. Zna reguły różniczkowania funkcji jednej zmiennej i zastosowania pochodnej.  Ma uporządkowaną wiedzę w zakresie wybranych zastosowań całki oznaczonej.</w:t>
      </w:r>
    </w:p>
    <w:p>
      <w:pPr>
        <w:spacing w:before="60"/>
      </w:pPr>
      <w:r>
        <w:rPr/>
        <w:t xml:space="preserve">Weryfikacja: </w:t>
      </w:r>
    </w:p>
    <w:p>
      <w:pPr>
        <w:spacing w:before="20" w:after="190"/>
      </w:pPr>
      <w:r>
        <w:rPr/>
        <w:t xml:space="preserve">Kolokwium, sprawdzian, obserwacja pracy studenta w sali komputerowej, egzamin.</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Rozumie potrzebę ciągłego dokształcania się.</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C1A_K01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2026-10-13T20:48:27+02:00</dcterms:created>
  <dcterms:modified xsi:type="dcterms:W3CDTF">2026-10-13T20:48:27+02:00</dcterms:modified>
</cp:coreProperties>
</file>

<file path=docProps/custom.xml><?xml version="1.0" encoding="utf-8"?>
<Properties xmlns="http://schemas.openxmlformats.org/officeDocument/2006/custom-properties" xmlns:vt="http://schemas.openxmlformats.org/officeDocument/2006/docPropsVTypes"/>
</file>