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Algoritms and Computability</w:t>
      </w:r>
    </w:p>
    <w:p>
      <w:pPr>
        <w:keepNext w:val="1"/>
        <w:spacing w:after="10"/>
      </w:pPr>
      <w:r>
        <w:rPr>
          <w:b/>
          <w:bCs/>
        </w:rPr>
        <w:t xml:space="preserve">Koordynator przedmiotu: </w:t>
      </w:r>
    </w:p>
    <w:p>
      <w:pPr>
        <w:spacing w:before="20" w:after="190"/>
      </w:pPr>
      <w:r>
        <w:rPr/>
        <w:t xml:space="preserve">Prof. dr hab. inż. Władysław Homenda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1120-IN000-ISA-0471 </w:t>
      </w:r>
    </w:p>
    <w:p>
      <w:pPr>
        <w:keepNext w:val="1"/>
        <w:spacing w:after="10"/>
      </w:pPr>
      <w:r>
        <w:rPr>
          <w:b/>
          <w:bCs/>
        </w:rPr>
        <w:t xml:space="preserve">Semestr nominalny: </w:t>
      </w:r>
    </w:p>
    <w:p>
      <w:pPr>
        <w:spacing w:before="20" w:after="190"/>
      </w:pPr>
      <w:r>
        <w:rPr/>
        <w:t xml:space="preserve">7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15 h
	c) obecność na laboratoriach – 15 h
	d) konsultacje  – 5 h
2. praca własna studenta – 135 h, w tym 
	a) przygotowanie do wykładów – 30 h
	b) przygotowanie do ćwiczeń – 20 h
	c) dodatkowo przygotowanie do sprawdzianów pisemnych – 25 h
	d) przygotowanie do zajęć laboratoryjnych – 60 h
Razem 200 h, co odpowiada 7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laboratoriach – 15 h
4. konsultacje z prowadzącymi zajęcia – 5 h
Razem 65 h, co odpowiada 3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15 h
2. obecność na laboratoriach – 15 h
3. przygotowanie do ćwiczeń – 20 h
4. przygotowanie do sprawdzianów pisemnych – 25 h
5. przygotowanie do zajęć laboratoryjnych – 60 h
Razem 135 h, co odpowiada 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aim of the course is to transfer knowledge of algorithm theory, complexity, decidability, characterization of problem classes. After completing the course, students should have the knowledge and skills formulated in the learning outcomes table.
</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 K_W08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K_W08, K_W10, 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K_U04, K_U05, K_U08, K_U14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K_U04, K_U09, 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K_U09, K_U11, K_U14, K_U23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 K_K02, K_K04, K_K05, K_K07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2024-05-20T03:39:30+02:00</dcterms:created>
  <dcterms:modified xsi:type="dcterms:W3CDTF">2024-05-20T03:39:30+02:00</dcterms:modified>
</cp:coreProperties>
</file>

<file path=docProps/custom.xml><?xml version="1.0" encoding="utf-8"?>
<Properties xmlns="http://schemas.openxmlformats.org/officeDocument/2006/custom-properties" xmlns:vt="http://schemas.openxmlformats.org/officeDocument/2006/docPropsVTypes"/>
</file>