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I.P6S_WK, II.X.P6S_WG.2, I.P6S_WG</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MAD1_U19, MAD1_U20, MAD1_U21, MAD1_U11, MAD1_U13, MAD1_U15, MAD1_U18</w:t>
      </w:r>
    </w:p>
    <w:p>
      <w:pPr>
        <w:spacing w:before="20" w:after="190"/>
      </w:pPr>
      <w:r>
        <w:rPr>
          <w:b/>
          <w:bCs/>
        </w:rPr>
        <w:t xml:space="preserve">Powiązane charakterystyki obszarowe: </w:t>
      </w:r>
      <w:r>
        <w:rPr/>
        <w:t xml:space="preserve">II.X.P6S_UW.1.o, II.X.P6S_UW.2, I.P6S_UW, I.P6S_UK,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2025-10-06T14:39:43+02:00</dcterms:created>
  <dcterms:modified xsi:type="dcterms:W3CDTF">2025-10-06T14:39:43+02:00</dcterms:modified>
</cp:coreProperties>
</file>

<file path=docProps/custom.xml><?xml version="1.0" encoding="utf-8"?>
<Properties xmlns="http://schemas.openxmlformats.org/officeDocument/2006/custom-properties" xmlns:vt="http://schemas.openxmlformats.org/officeDocument/2006/docPropsVTypes"/>
</file>