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 (KB) (BS1A_57/02)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Zapoznanie się ze wskazaną literaturą 10h; Przygotowanie do kolokwium 10h;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Bezpieczeństwo  i higiena pracy przy realizacji robót budowlanych (aspekty prawne i technologiczne) 
W2. Planowanie bezpieczeństwa i ochrony zdrowia dla budowy
W3. Urządzenia bhp
W4. System ochrony pracy w Polsce
W5. Ogólne warunki bezpieczeństwa i higieny pracy
W6. Organizacja służb bhp w przedsiębiorstwach budowlanych
W7. Postępowanie wypadkowe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w budownictwie,  zasady planowania bezpieczeństwa i ochrony zdrowia dla budowy i zasady organizacji bezpiecznych stanowisk pracy.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wiedzę dotyczącą źródeł  i wymagań prawa w zakresie bezpieczeństwa pracy w budownictwie i zakładach produkcji pomocniczej dla budownictwa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U11_02: </w:t>
      </w:r>
    </w:p>
    <w:p>
      <w:pPr/>
      <w:r>
        <w:rPr/>
        <w:t xml:space="preserve">Potrafi sporządzić plan bioz dla różnych etapów i warunków realizacji budowy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Potrafi określić priorytety w wykonawstwie budowlanym, nie naruszając zasady nadrzędności ochrony bezpieczeństwa i zdrowia załogi wykonującej roboty budowlane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2026-10-14T06:02:30+02:00</dcterms:created>
  <dcterms:modified xsi:type="dcterms:W3CDTF">2026-10-14T06:02:30+02:00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