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Kominy stalowe. Rozwiązania konstrukcyjne, obciążenia trwałość konstrukcji.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W06_01: </w:t>
      </w:r>
    </w:p>
    <w:p>
      <w:pPr/>
      <w:r>
        <w:rPr/>
        <w:t xml:space="preserve">Ma podstawową wiedzę o trwałości obiektów budowlanych, o trwałości materiałów i konstrukcji budowlanych, identyfikuje różnice w okresach trwałości elementów i obiektów budowlanych, ma podstawową wiedzę w zakresie doboru typu konstrukcji do wymaganych warunków trwałośi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B1A_W06_01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przedmiotu.(W1-W9)(P1-P6)</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2025-10-29T23:25:22+01:00</dcterms:created>
  <dcterms:modified xsi:type="dcterms:W3CDTF">2025-10-29T23:25:22+01:00</dcterms:modified>
</cp:coreProperties>
</file>

<file path=docProps/custom.xml><?xml version="1.0" encoding="utf-8"?>
<Properties xmlns="http://schemas.openxmlformats.org/officeDocument/2006/custom-properties" xmlns:vt="http://schemas.openxmlformats.org/officeDocument/2006/docPropsVTypes"/>
</file>