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(WS2A_05/04)</w:t>
      </w:r>
    </w:p>
    <w:p>
      <w:pPr>
        <w:keepNext w:val="1"/>
        <w:spacing w:after="10"/>
      </w:pPr>
      <w:r>
        <w:rPr>
          <w:b/>
          <w:bCs/>
        </w:rPr>
        <w:t xml:space="preserve">Koordynator przedmiotu: </w:t>
      </w:r>
    </w:p>
    <w:p>
      <w:pPr>
        <w:spacing w:before="20" w:after="190"/>
      </w:pPr>
      <w:r>
        <w:rPr/>
        <w:t xml:space="preserve">dr  inż. Marzena Majzner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preparation to classes and test – 10;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15 h = 0,6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L4 – Quality
requirements for automotive fuels; L5 – L7 – Influence of chemical and physical properties of automotive fuels on their operation properties; L8 – L10 – Influence of chemical and physical properties of automotive fuels on their application capabilities; L11 – L12 – Selection of analytical methods for testing physical and chemical properties of automotive fuels; L13 – L14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2026-08-07T20:08:41+02:00</dcterms:created>
  <dcterms:modified xsi:type="dcterms:W3CDTF">2026-08-07T20:08:41+02:00</dcterms:modified>
</cp:coreProperties>
</file>

<file path=docProps/custom.xml><?xml version="1.0" encoding="utf-8"?>
<Properties xmlns="http://schemas.openxmlformats.org/officeDocument/2006/custom-properties" xmlns:vt="http://schemas.openxmlformats.org/officeDocument/2006/docPropsVTypes"/>
</file>