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25 godz.
•	przygotowanie do zajęć laboratoryjnych: 25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80 godz., w tym:
•	wykonanie ćwiczeń w laboratorium: 30 godz.
•	przygotowanie do ćwiczeń laboratoryjnych: 25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2011.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K_W12, K_W10, K_W11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K_U11, K_U15, K_U10</w:t>
      </w:r>
    </w:p>
    <w:p>
      <w:pPr>
        <w:spacing w:before="20" w:after="190"/>
      </w:pPr>
      <w:r>
        <w:rPr>
          <w:b/>
          <w:bCs/>
        </w:rPr>
        <w:t xml:space="preserve">Powiązane charakterystyki obszarowe: </w:t>
      </w:r>
      <w:r>
        <w:rPr/>
        <w:t xml:space="preserve">I.P6S_UK, 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2026-05-07T05:20:24+02:00</dcterms:created>
  <dcterms:modified xsi:type="dcterms:W3CDTF">2026-05-07T05:20:24+02:00</dcterms:modified>
</cp:coreProperties>
</file>

<file path=docProps/custom.xml><?xml version="1.0" encoding="utf-8"?>
<Properties xmlns="http://schemas.openxmlformats.org/officeDocument/2006/custom-properties" xmlns:vt="http://schemas.openxmlformats.org/officeDocument/2006/docPropsVTypes"/>
</file>