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Budowy i Eksploatacji Środków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 dla specjalności anglojęzycznej</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praca na wykładach 29 godz., konsultacje 5 godz., udział w pre-teście zaliczeniowym 1 godz., analiza wybranych pozycji literatury (bez ograniczeń do wcześniej określonych pozycji) 15 godz., własne badanie na potrzeby testu końcowego (zaliczenia)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 zakresie wcześniejszych zaliczeń. 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 Prezentacje nie są oceniane (ich celem jest wywołanie dyskusji na temat różnych realiów transportowych na całym świecie).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Grzybowska K., Awasthi A., Sawhney R. (eds) Sustainable Logistics and Production in Industry 4.0. EcoProduction (Environmental Issues in Logistics and Manufacturing). Springer, Cham, pp 243-262. ISBN 978-3-030-33368-3. DOI: https://doi.org/10.1007/978-3-030-33369-0_14 
2) Kostrzewski, M. Sensitivity Analysis of Selected Parameters in the Order Picking Process Simulation Model, with Randomly Generated Orders. Entropy 2020, 22, is. 4, 423, pp. 1021. https://doi.org/10.3390/e22040423 
3) Kostrzewski Mariusz, Kosacka-Olejnik Monika, WernerLewandowska Karolina, 2019, Assessment of innovativeness level for chosen solutions related to Logistics 4.0, Procedia Manufacturing, Volume 38, pp. 621-628, ISSN 2351-9789, https://doi.org/10.1016/j.promfg.2020.01.080 
4) Kostrzewski M., Kostrzewski A., 2019, Transshipment tracks length arrangement (Úprava dĺźky dĺžky prekládkových koľaji), 24th International Conference Current Problems in Rail Vehicles, Zilina, September 17 - 19, 2019, Slovakia, Proceedings, Vol. 1, pp. 345- 354 
5)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humanistyczny lub społeczny I”. 
Wymagane jest, aby poprzez Przedmiot obieralny humanistyczny lub społeczny I student osiągał efekt uczenia się nr Tr2A_W12.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trendy rozwojowe oraz najważniejsze nowe osiągnięcia, a także dylematy współczesnej cywilizacji w zakresie dyscypliny naukowej inżynieria lądowa i transport, w szczególności: infrastruktury transportowej, środków transportu, systemów transportowych i logistyki. Główne trendy rozwojowe oraz nowe osiągnięcia dotyczą różnych rynków lokalnych i regionalnych, ich wzajemnego wpływu oraz ich wpływu na rynek globalny (i społeczeństwo)  i odwrotnie.</w:t>
      </w:r>
    </w:p>
    <w:p>
      <w:pPr>
        <w:spacing w:before="60"/>
      </w:pPr>
      <w:r>
        <w:rPr/>
        <w:t xml:space="preserve">Weryfikacja: </w:t>
      </w:r>
    </w:p>
    <w:p>
      <w:pPr>
        <w:spacing w:before="20" w:after="190"/>
      </w:pPr>
      <w:r>
        <w:rPr/>
        <w:t xml:space="preserve">Wykład: zaliczenie na podstawie 30-elementowego arkusza testu z odpowiedziami jednokrotnego wyboru.</w:t>
      </w:r>
    </w:p>
    <w:p>
      <w:pPr>
        <w:spacing w:before="20" w:after="190"/>
      </w:pPr>
      <w:r>
        <w:rPr>
          <w:b/>
          <w:bCs/>
        </w:rPr>
        <w:t xml:space="preserve">Powiązane charakterystyki kierunkowe: </w:t>
      </w:r>
      <w:r>
        <w:rPr/>
        <w:t xml:space="preserve">Tr2A_W11, Tr2A_W12</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i oceny wybranych, istniejących specjalistycznych rozwiązań technologicznych, technicznych i organizacyjnych, w szczególności urządzeń, obiektów, systemów, procesów, usług, logistyki międzynarodowej i technologii transportowych.</w:t>
      </w:r>
    </w:p>
    <w:p>
      <w:pPr>
        <w:spacing w:before="60"/>
      </w:pPr>
      <w:r>
        <w:rPr/>
        <w:t xml:space="preserve">Weryfikacja: </w:t>
      </w:r>
    </w:p>
    <w:p>
      <w:pPr>
        <w:spacing w:before="20" w:after="190"/>
      </w:pPr>
      <w:r>
        <w:rPr/>
        <w:t xml:space="preserve">Wykład: zaliczenie na podstawie 30-elementowego arkusza testu z odpowiedziami jednokrotnego wyboru. Ponadto studenci wygłaszają referaty związane z wybranymi rozwiązaniami transportowymi stosowanymi w ich krajach.</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przygotowany do wypełniania obowiązków transportowych wobec społeczeństwa, do inspirowania i inicjowania lub organizowania działalności transportowej na rzecz środowiska społecznego.</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2025-06-07T00:55:31+02:00</dcterms:created>
  <dcterms:modified xsi:type="dcterms:W3CDTF">2025-06-07T00:55:31+02:00</dcterms:modified>
</cp:coreProperties>
</file>

<file path=docProps/custom.xml><?xml version="1.0" encoding="utf-8"?>
<Properties xmlns="http://schemas.openxmlformats.org/officeDocument/2006/custom-properties" xmlns:vt="http://schemas.openxmlformats.org/officeDocument/2006/docPropsVTypes"/>
</file>