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dla specjalności anglojęzycznej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konsultacje 2 godz., przygotowanie prezentacji zadania problemowego 10 godz.  przygotowanie do zaliczeń cząstkowych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1.Occupational health and safety management systems – Requirements OHSAS 18001:2007 Standard
2.	OSH management system: a tool for continual improvement; International Labour Organization 2011
3.	ISO 45001 - Occupational Health and Safety Management System, 2018 
4.	Risk Assessment Methodology; The University of Melbourne, 2018
5.	Methods used for health risk assessment., World Health Organization, 
6.	Risk Assessment Forum White Paper: Probabilistic Risk Assessment Methods and Case Studies; www.epa.gov/raf 2014
7. A Strategy for the Prevention of Workplace Accidents, Injuries and Illnesses, Published in 2004 by the Health and Safety Authority,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II”. 
Wymagane jest, aby poprzez Przedmiot obieralny humanistyczny lub społeczny II student osiągał efekt uczenia się nr Tr2A_W12 oraz Tr2A_W14.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na temat prawnych, ekonomicznych i społecznych uwarunkowań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wiedzę w zakresie wymagań dotyczących budowy i funkcjonowania systemów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szczegółową wiedzę z zakresu szacowania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 i innych źródeł dotyczących bezpieczeństwa i higieny pracy; potrafi integrować uzyskane informacje, interpretować je i oceniać ryzyko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Uczeń potrafi ocenić przydatność stosowanych metod oceny ryzyka zawodowego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pozatechniczne aspekty i skutki działalności inżynierskiej, w tym jej wpływ na środowisko i człowieka, oraz znaczenie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