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MSC Patran, GTX NX.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typu MES. Preprocesory graficzne, solvery i postprocesory. Różnica między obliczeniami typu implicit i explicit w zarysie. Obliczenia równoległe, mpp i superkomputery. Wprowadzenie do pakietu LS-DYNA.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preprocesorów (przykład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sformułować problem i zaplanować badania numeryczne służące do jego rozwiązania. Potrafi zbudować model numeryczny z wykorzystaniem komercyjnych programów, opartych na metodzie elementów skończonych.  Potrafi przeprowadzić obliczenia i przedstawić analizę wyników w formie opracowania.</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charakterystyki kierunkowe: </w:t>
      </w:r>
      <w:r>
        <w:rPr/>
        <w:t xml:space="preserve">K2_U03, K2_U08,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charakterystyki kierunkowe: </w:t>
      </w:r>
      <w:r>
        <w:rPr/>
        <w:t xml:space="preserve">K2_K02,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2026-10-15T11:58:18+02:00</dcterms:created>
  <dcterms:modified xsi:type="dcterms:W3CDTF">2026-10-15T11:58:18+02:00</dcterms:modified>
</cp:coreProperties>
</file>

<file path=docProps/custom.xml><?xml version="1.0" encoding="utf-8"?>
<Properties xmlns="http://schemas.openxmlformats.org/officeDocument/2006/custom-properties" xmlns:vt="http://schemas.openxmlformats.org/officeDocument/2006/docPropsVTypes"/>
</file>