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Knyziak;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posiadają wiedzę z przedmiotów konstrukcyjnych (konstrukcje żelbetowe, metalowe, drewniane) prowadzone na studiach I-go stopnia, gdyż przedmiot ten w pewien sposób podsumowuje zdobytą wiedzę.
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zasad dotyczących teoretycznych i praktycznych aspektów modelowania konstrukcji z wykorzystaniem MES, przykładania i kombinacji obciążeń, wykonywania obliczeń statycznych (z uwzględnieniem dokładności obliczeń oraz ograniczeń sprzętowych), interpretacji wyników (ich dokładności, umiejętności wychwytywania błędów) oraz wymiarowania. W trakcie zajęć wykorzystywany jest program Autodesk Robot Structural Analysis Professional, w którym przedstawiane są przykłady.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Konfiguracja programu - preferencje,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 Błędy.
• Konstrukcje powierzchniowe - dokładność obliczeń oraz ograniczenia sprzętowe,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 Błędy. 
• Rezultaty dla konstrukcji prętowych i płytowych – rezultaty tabelaryczne sił, przemieszczeń i reakcji; wykresy sił, przemieszczeń i reakcji; mapy, izolinie i wartości w elementach skończonych, przecięcia przez panele, uwzględnienie rozmiaru podpór słupowych w rezultatach. Błędy. Interpretacja wyników.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 Błędy. Interpretacja wyników.
• Współpraca elementów prętowych z powierzchniowymi – wpływ zmiany sztywności podparcia na wyniki statyki i ugięcia (offsety itp.), wpływ siatkowania ES na rezultaty nad słupami. Błędy. Interpretacja wyników.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Obecność na zajęciach jest obowiązkowa. Maksymalna liczba nieobecności to 2. Nie ma konieczności usprawiedliwiania nieobecności. Na zajęcia należy przychodzić punktualnie.
• Studenci zobowiązani są do aktywnego uczestniczenia w zajęciach (wykonywania zadań na komputerze).
• Część ćwiczeń/zadań wykonywanych w trakcie zajęć jest na zaliczenie i taka informacja podawana będzie na początku danych zajęć.
• Należy wykonać samodzielnie i terminowo dwie prace. Prace są oceniane. Należy otrzymać ocenę pozytywną z obu prac. Termin oddania pracy nr 1 jest podany na temacie pracy.
• Praca nr 2 musi być wykonana na ostatnich zajęciach w semestrze. Dopuszczalne jest przesłanie wykonanej pracy na adres e-mail prowadzącego najpóźniej do ostatniego dnia semestru, przed rozpoczęciem sesji egzaminacyjnej.
• Ocena pozytywna wynika z uzyskania zaliczeń zadań wykonywanych w trakcie trwania zajęć oraz ocen z 2 prac.
• Ewentualna poprawa oceny końcowej możliwa jest poprzez napisanie w sesji zimowej sprawdzianu zaliczeniowego i poprawienie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www.robobat.pl;
„Help” programu;
Materiały przygotowane przez prowadzących zajęcia udostępniane studentom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możliwości i zakres stosowania programu ARSA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 : </w:t>
      </w:r>
    </w:p>
    <w:p>
      <w:pPr/>
      <w:r>
        <w:rPr/>
        <w:t xml:space="preserve">Zna zasady modelowania konstrukcji prętowych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K2_U17_KB, K2_U19_KB, K2_U15_KB, K2_U03, K2_U04,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zamodelować układ powierzchniowy,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2026-03-24T11:08:03+01:00</dcterms:created>
  <dcterms:modified xsi:type="dcterms:W3CDTF">2026-03-24T11:08:03+01:00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