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Gospodarka przestrzenna w Unii Europejskiej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Hanna Trojanowska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GP.SMK101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 
a)	wykład – 15 godz. 
b)	obecność na zaliczeniu – 1 godz.
c) konsultacje  4 godz
2. Praca własna studenta – 5 godzin, w tym:
 a)	 czytanie literatury i przygotowywanie się studenta do zaliczenia. 5 godz
łącznie 25 godz., co odpowiada 1 punktom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1. Liczba godzin kontaktowych: 20, w tym: 
a)	wykład – 15 godz. 
b)	obecność na zaliczeniu – 1 godz.
c) konsultacje  4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informacje o Unii Europejskiej oraz podstawowa wiedza ekonomiczna.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60 - studentów na wykładzie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polityce  przestrzennej Unii Europejskiej, jej powiązaniach z ekonomią oraz z polityką regionalną.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Ogólne wprowadzenie do przedmiotu. Cechy przestrzeni w UE. Struktura przestrzeni w UE.
Przesłanki gospodarcze wpływające na zagospodarowanie przestrzeni w UE. Rola planowania przestrzennego jako instrumentu sterowania rozwojem w UE. Pojęcie i struktura gospodarki przestrzennej w UE. Podstawowe problemy uwzględniane w gospodarce przestrzennej w UE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Jedna lub kilka z poniższych form: kolokwium (ustne lub pisemne). Formy zaliczenia: test wyboru,  esej, wypowiedź ustna na dany temat, odpowiedź ustna, udział w dyskusji podczas zajęć. Studenci wyjątkowo aktywni na zajęciach mogą zostać zwolnieni z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1. A. Potoczek, Polityka regionalna i gospodarka przestrzenna, Wydawnictwo Agencja THONIK, Toruń 2003
    2. T. Grosse, Polityka regionalna Unii Europejskiej. Przykład Grecji, Włoch Irlandii i Polski, Instytut Spraw Publicznych, Warszawa 2004
    3. I. Pietrzyk, Polityka regionalna Unii Europejskiej i regiony w państwach członkowskich, PWN, Warszawa 2000
    4. I. Pietrzyk (red.), Polityka regionalna Unii Europejskiej w praktyce krajów członkowskich, Wydawnictwo Akademii Ekonomicznej w Krakowie, Kraków 1999
    5. M. Rudnicki, Polityka regionalna Unii Europejskiej, Wydawnictwo Wyższej szkoły bankowej, Poznań 2000
    6. S. Pastuszka, Polityka regionalna Unii Europejskiej – cele, narzędzia efekty, Difin, Warszawa 2012
    7. W. Sługocki (red.), Polityka regionalna w Polsce jako przestrzeń aktywności samorządu terytorialnego, Elipsa, Warszawa 2009
    8. D. Czyker-Wierzba, Polityka regionalna Unii Europejskiej, Wydawnictwo Uniwersytetu Gdańskiego, Gdańsk 1998
    9. M. Klimut, L. Cybulski (red.), Polityka regionalna i jej rola w podnoszeniu konkurencyjności regionów, Wydawnictwo Akademii Ekonomicznej im Oskara Langego we Wrocławiu, Wrocław 2000
    10. J. Kaja, K. Piech (red.), Rozwój oraz polityka regionalna i lokalna w Polsce, SGH, Warszawa 2005
    11. G. Gorzelak (red), Polska regionalna i lokalna w świetle badań EUROREG-u, Wydawnictwo Naukowe Scholar, Warszawa 2007
    12. J. Szomburg (red.), Polityka regionalna państwa pośród uwikłań instytucjonalno-regulacyjnych, IBGR, Gdańsk 2001
    13. K. Gląbicka, M. Grewiński, Europejska polityka regionalna, Elipsa, Warszawa 2003
    14. K. Wojtaszczyk, Fundusze strukturalne i polityka regionalna Unii Europejskiej, ASPRA-JR, Warszawa 2005
    15. R. Ast, Kształtowanie przestrzeni regionów i miast. Wybrane zagadnienia, Wydawnictwo Politechniki Poznańskiej, Poznań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ściśle skorelowany z przedmiotem Polityka regionalna i prawodawstwo UE w gospodarowaniu przestrzenią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GP.SMK101_W1: </w:t>
      </w:r>
    </w:p>
    <w:p>
      <w:pPr/>
      <w:r>
        <w:rPr/>
        <w:t xml:space="preserve">Zna i rozumie działanie samorządów terytorialnych w krajach UE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GP.SMK101_W2: </w:t>
      </w:r>
    </w:p>
    <w:p>
      <w:pPr/>
      <w:r>
        <w:rPr/>
        <w:t xml:space="preserve">Zna i rozumie proces planowania przestrzennego w krajach UE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GP.SMK101_W3: </w:t>
      </w:r>
    </w:p>
    <w:p>
      <w:pPr/>
      <w:r>
        <w:rPr/>
        <w:t xml:space="preserve">Ma interdyscyplinarną wiedzę dotycząca działalności inżynierskiej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keepNext w:val="1"/>
        <w:spacing w:after="10"/>
      </w:pPr>
      <w:r>
        <w:rPr>
          <w:b/>
          <w:bCs/>
        </w:rPr>
        <w:t xml:space="preserve">Efekt GP.SMK101_W4: </w:t>
      </w:r>
    </w:p>
    <w:p>
      <w:pPr/>
      <w:r>
        <w:rPr/>
        <w:t xml:space="preserve">Ma wiedzę o interdyscyplinarności  procesu planowania w kraju i w Europie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GP.SMK101_U1: </w:t>
      </w:r>
    </w:p>
    <w:p>
      <w:pPr/>
      <w:r>
        <w:rPr/>
        <w:t xml:space="preserve">Potrafi tworzyć  opracowania z merytorycznymi argumentami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keepNext w:val="1"/>
        <w:spacing w:after="10"/>
      </w:pPr>
      <w:r>
        <w:rPr>
          <w:b/>
          <w:bCs/>
        </w:rPr>
        <w:t xml:space="preserve">Efekt GP.SMK101_U2: </w:t>
      </w:r>
    </w:p>
    <w:p>
      <w:pPr/>
      <w:r>
        <w:rPr/>
        <w:t xml:space="preserve">Potrafi  wyciągać syntetyczne wnioski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S2A_U06, S2A_U07</w:t>
      </w:r>
    </w:p>
    <w:p>
      <w:pPr>
        <w:keepNext w:val="1"/>
        <w:spacing w:after="10"/>
      </w:pPr>
      <w:r>
        <w:rPr>
          <w:b/>
          <w:bCs/>
        </w:rPr>
        <w:t xml:space="preserve">Efekt GP.SMK101_U3: </w:t>
      </w:r>
    </w:p>
    <w:p>
      <w:pPr/>
      <w:r>
        <w:rPr/>
        <w:t xml:space="preserve">Wie jak analizować różnorodne uwarunkowania procesu planowania przestrzennego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S2A_U03, T2A_U10</w:t>
      </w:r>
    </w:p>
    <w:p>
      <w:pPr>
        <w:keepNext w:val="1"/>
        <w:spacing w:after="10"/>
      </w:pPr>
      <w:r>
        <w:rPr>
          <w:b/>
          <w:bCs/>
        </w:rPr>
        <w:t xml:space="preserve">Efekt GP.SMK101_U4: </w:t>
      </w:r>
    </w:p>
    <w:p>
      <w:pPr/>
      <w:r>
        <w:rPr/>
        <w:t xml:space="preserve">Potrafi analizować wieloaspektowość procesu planowania przestrzennego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S2A_U03,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GP.SMK101_K1: </w:t>
      </w:r>
    </w:p>
    <w:p>
      <w:pPr/>
      <w:r>
        <w:rPr/>
        <w:t xml:space="preserve">Jest świadomy skutków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GP.SMK101_K2: </w:t>
      </w:r>
    </w:p>
    <w:p>
      <w:pPr/>
      <w:r>
        <w:rPr/>
        <w:t xml:space="preserve">Ma poczucie zawodowej odpowiedzialności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GP.SMK101_K3: </w:t>
      </w:r>
    </w:p>
    <w:p>
      <w:pPr/>
      <w:r>
        <w:rPr/>
        <w:t xml:space="preserve">Potrafi uwzględniać różne kierunki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p>
      <w:pPr>
        <w:keepNext w:val="1"/>
        <w:spacing w:after="10"/>
      </w:pPr>
      <w:r>
        <w:rPr>
          <w:b/>
          <w:bCs/>
        </w:rPr>
        <w:t xml:space="preserve">Efekt GP.SMK101_K4: </w:t>
      </w:r>
    </w:p>
    <w:p>
      <w:pPr/>
      <w:r>
        <w:rPr/>
        <w:t xml:space="preserve">Potrafi przewidywać różnorodne skutki  swojej działalności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2025-04-07T09:18:29+02:00</dcterms:created>
  <dcterms:modified xsi:type="dcterms:W3CDTF">2025-04-07T09:18:29+02:00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