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Zasady prowadzenia działalności gospodarczej na podstawie ustawy Prawo przedsiębiorców.
5.	Reglamentacja działalności gospodarczej.
6.	Postępowanie restrukturyzacyjne i upadłościowe.
7.	Prowadzenie działalności gospodarczej przez jednostki samorządu terytorialnego.
8.	Ochrona konkurencji i konsumentów.
9.	Analiza aspektu interesu publicznego w określonych sektorach (poczta, telekomunikacja, rynek finansowy, energetyka, rynek kolejowy).
10.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I.P6S_WG, I.P6S_WK, II.S.P6S_WG.1, II.S.P6S_WG.2, II.S.P6S_WG.3, II.H.P6S_WG/K.o, II.H.P6S_WG.3</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II.H.P6S_WG/K.o, I.P6S_WG, I.P6S_WK, II.S.P6S_WG.1, II.S.P6S_WG.2, II.S.P6S_WG.3</w:t>
      </w:r>
    </w:p>
    <w:p>
      <w:pPr>
        <w:keepNext w:val="1"/>
        <w:spacing w:after="10"/>
      </w:pPr>
      <w:r>
        <w:rPr>
          <w:b/>
          <w:bCs/>
        </w:rPr>
        <w:t xml:space="preserve">Charakterystyka W_04: </w:t>
      </w:r>
    </w:p>
    <w:p>
      <w:pPr/>
      <w:r>
        <w:rPr/>
        <w:t xml:space="preserve">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I.P6S_UO, I.P6S_UW, II.S.P6S_UW.1, II.S.P6S_UW.2.o, II.S.P6S_UW.3.o, II.H.P6S_UW.1</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2026-10-15T01:57:48+02:00</dcterms:created>
  <dcterms:modified xsi:type="dcterms:W3CDTF">2026-10-15T01:57:48+02:00</dcterms:modified>
</cp:coreProperties>
</file>

<file path=docProps/custom.xml><?xml version="1.0" encoding="utf-8"?>
<Properties xmlns="http://schemas.openxmlformats.org/officeDocument/2006/custom-properties" xmlns:vt="http://schemas.openxmlformats.org/officeDocument/2006/docPropsVTypes"/>
</file>